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57" w:rsidRPr="00777C88" w:rsidRDefault="00777C88" w:rsidP="00777C88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777C88">
        <w:rPr>
          <w:b/>
          <w:bCs/>
          <w:sz w:val="40"/>
          <w:szCs w:val="40"/>
        </w:rPr>
        <w:t>KPIs</w:t>
      </w:r>
    </w:p>
    <w:tbl>
      <w:tblPr>
        <w:tblpPr w:leftFromText="180" w:rightFromText="180" w:vertAnchor="page" w:horzAnchor="margin" w:tblpXSpec="center" w:tblpY="3961"/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89"/>
        <w:gridCol w:w="1129"/>
        <w:gridCol w:w="1013"/>
        <w:gridCol w:w="1271"/>
        <w:gridCol w:w="1903"/>
        <w:gridCol w:w="1201"/>
      </w:tblGrid>
      <w:tr w:rsidR="00777C88" w:rsidRPr="00F85C4C" w:rsidTr="00777C88">
        <w:trPr>
          <w:trHeight w:val="558"/>
        </w:trPr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No</w:t>
            </w:r>
          </w:p>
        </w:tc>
        <w:tc>
          <w:tcPr>
            <w:tcW w:w="18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KPI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Target</w:t>
            </w:r>
          </w:p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Benchmark</w:t>
            </w:r>
          </w:p>
        </w:tc>
        <w:tc>
          <w:tcPr>
            <w:tcW w:w="1013" w:type="dxa"/>
            <w:tcBorders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Actual</w:t>
            </w:r>
          </w:p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Internal</w:t>
            </w:r>
          </w:p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Benchmark</w:t>
            </w:r>
          </w:p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proofErr w:type="spellStart"/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ALdarb</w:t>
            </w:r>
            <w:proofErr w:type="spellEnd"/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BDBDB" w:themeFill="accent3" w:themeFillTint="66"/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New Target</w:t>
            </w:r>
          </w:p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Benchmark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Percentage of achieved indicators of the program operational plan objectives</w:t>
            </w:r>
          </w:p>
        </w:tc>
        <w:tc>
          <w:tcPr>
            <w:tcW w:w="112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80%</w:t>
            </w:r>
          </w:p>
        </w:tc>
        <w:tc>
          <w:tcPr>
            <w:tcW w:w="10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45%</w:t>
            </w: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82%</w:t>
            </w: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A reasonable percentage considering the human and material resources allocated to the department</w:t>
            </w: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80%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KPI-P-02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Students' Evaluation of quality of learning experience in the program</w:t>
            </w: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4.5</w:t>
            </w:r>
          </w:p>
        </w:tc>
        <w:tc>
          <w:tcPr>
            <w:tcW w:w="10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4.1</w:t>
            </w: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3.27</w:t>
            </w: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A percentage that can be improved by more effective communication with students</w:t>
            </w: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KPI-P-03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Students' evaluation of the quality of the courses</w:t>
            </w: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4,05</w:t>
            </w: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3.75</w:t>
            </w: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It is possible to improve this ratio by working on weaknesses in students survey</w:t>
            </w: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4.1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KPI-P-04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Completion rate</w:t>
            </w: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60%</w:t>
            </w:r>
          </w:p>
        </w:tc>
        <w:tc>
          <w:tcPr>
            <w:tcW w:w="10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50.7%</w:t>
            </w: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71%</w:t>
            </w: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According to the databases from the Student Affairs Unit in the college, the percentage was weak, due to a number of reasons, the most important of which is the university dropout for girls from remote rural areas, transportation with their relatives to other regions, or transfer to other colleges</w:t>
            </w: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50%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KPI-P-05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left" w:pos="4010"/>
              </w:tabs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First-year students retention rate</w:t>
            </w:r>
          </w:p>
        </w:tc>
        <w:tc>
          <w:tcPr>
            <w:tcW w:w="1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80%</w:t>
            </w:r>
          </w:p>
        </w:tc>
        <w:tc>
          <w:tcPr>
            <w:tcW w:w="10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90.04%</w:t>
            </w: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2</w:t>
            </w: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It is possible to improve this ratio by working on reasons for university dropout among some students</w:t>
            </w: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80%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KPI-P-06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Students' performance in the professional and/or national examinations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-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NA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pStyle w:val="Default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rtl/>
                <w:lang w:eastAsia="ar-SA"/>
              </w:rPr>
            </w:pPr>
            <w:r w:rsidRPr="00F85C4C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KPI-P-07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Graduates’ employability and enrolment in postgraduate programs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50%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0%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0%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pStyle w:val="Default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rtl/>
                <w:lang w:eastAsia="ar-SA"/>
              </w:rPr>
            </w:pPr>
            <w:r w:rsidRPr="00F85C4C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eastAsia="ar-SA"/>
              </w:rPr>
              <w:t>---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75%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KPI-P-08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Average number of students in the class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30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30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The rate is fairly acceptable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15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KPI-P-09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Employers' evaluation of the program graduates proficiency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-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-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-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-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lastRenderedPageBreak/>
              <w:t>KPI-P-10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Students' satisfaction with the offered services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3.6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the result has proved compared to the previous year and could be further improved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4.5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KPI-P-11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Ratio of students to teaching staff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1/30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1/35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1/25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1/30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KPI-P-12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Percentage of teaching staff distribution.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75%master</w:t>
            </w:r>
          </w:p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25%PHD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75%female</w:t>
            </w:r>
          </w:p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22%male</w:t>
            </w:r>
          </w:p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78%master</w:t>
            </w:r>
          </w:p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22%PHD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60%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The percentage of PhD holders among members is lower than the internal benchmark. By referring to the department's databases, it is shown that</w:t>
            </w: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  <w:t>:</w:t>
            </w:r>
          </w:p>
          <w:p w:rsidR="00777C88" w:rsidRPr="00F85C4C" w:rsidRDefault="00777C88" w:rsidP="00777C8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  <w:t> </w:t>
            </w: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-The percentage of PhD holders approved by the faculty is very low</w:t>
            </w: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  <w:t>.</w:t>
            </w:r>
          </w:p>
          <w:p w:rsidR="00777C88" w:rsidRPr="00F85C4C" w:rsidRDefault="00777C88" w:rsidP="00777C8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</w:pPr>
            <w:proofErr w:type="gramStart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-There are some members who have obtained doctorate degrees while they are in the process of accreditation</w:t>
            </w:r>
            <w:proofErr w:type="gramEnd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  <w:t>.</w:t>
            </w:r>
          </w:p>
          <w:p w:rsidR="00777C88" w:rsidRPr="00F85C4C" w:rsidRDefault="00777C88" w:rsidP="00777C88">
            <w:pPr>
              <w:pStyle w:val="Default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eastAsia="ar-SA"/>
              </w:rPr>
            </w:pPr>
            <w:r w:rsidRPr="00F85C4C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-The general result is very weak and it is the most prominent weakness of the department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100%female</w:t>
            </w:r>
          </w:p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40%master</w:t>
            </w:r>
          </w:p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60%PHD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KPI-P-13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Proportion of teaching staff  leaving the program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0%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0%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0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pStyle w:val="Default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eastAsia="ar-SA"/>
              </w:rPr>
            </w:pPr>
            <w:r w:rsidRPr="00F85C4C">
              <w:rPr>
                <w:rFonts w:ascii="inherit" w:eastAsia="Times New Roman" w:hAnsi="inherit" w:cs="Courier New"/>
                <w:color w:val="595959" w:themeColor="text1" w:themeTint="A6"/>
                <w:sz w:val="18"/>
                <w:szCs w:val="18"/>
              </w:rPr>
              <w:t>Excellent conditions for working within the college.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0%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KPI-P-14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Percentage of publications of faculty members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20%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0%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20%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pStyle w:val="Default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eastAsia="ar-SA"/>
              </w:rPr>
            </w:pPr>
            <w:r w:rsidRPr="00F85C4C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A very weak percentage, which requires improvement measures and commitments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20%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KPI-P-15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Rate of published research per faculty member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1/10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0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1/110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pStyle w:val="Default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rtl/>
                <w:lang w:eastAsia="ar-SA"/>
              </w:rPr>
            </w:pPr>
            <w:r w:rsidRPr="00F85C4C">
              <w:rPr>
                <w:rFonts w:eastAsia="Calibri" w:cs="Arial"/>
                <w:color w:val="595959" w:themeColor="text1" w:themeTint="A6"/>
                <w:sz w:val="18"/>
                <w:szCs w:val="18"/>
              </w:rPr>
              <w:t>A very weak percentage, which requires improvement measures and commitments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1/9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KPI-P-16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eastAsia="ar-SA"/>
              </w:rPr>
              <w:t>Rate of published research per faculty member increased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1:10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1:9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1:4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A very weak percentage, which requires improvement measures and commitments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1/10</w:t>
            </w:r>
          </w:p>
        </w:tc>
      </w:tr>
      <w:tr w:rsidR="00777C88" w:rsidRPr="00F85C4C" w:rsidTr="00777C88">
        <w:trPr>
          <w:trHeight w:val="174"/>
        </w:trPr>
        <w:tc>
          <w:tcPr>
            <w:tcW w:w="918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KPI-P-17</w:t>
            </w:r>
          </w:p>
        </w:tc>
        <w:tc>
          <w:tcPr>
            <w:tcW w:w="188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Satisfaction of beneficiaries with the learning resources</w:t>
            </w:r>
          </w:p>
        </w:tc>
        <w:tc>
          <w:tcPr>
            <w:tcW w:w="11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10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3.8</w:t>
            </w: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jc w:val="center"/>
              <w:rPr>
                <w:color w:val="595959" w:themeColor="text1" w:themeTint="A6"/>
                <w:sz w:val="18"/>
                <w:szCs w:val="18"/>
                <w:rtl/>
                <w:lang w:bidi="ar-LB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bidi="ar-LB"/>
              </w:rPr>
              <w:t>3.57</w:t>
            </w: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Good  ratio compared to the internal benchmark</w:t>
            </w: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77C88" w:rsidRPr="00F85C4C" w:rsidRDefault="00777C88" w:rsidP="00777C88">
            <w:pPr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color w:val="595959" w:themeColor="text1" w:themeTint="A6"/>
                <w:sz w:val="18"/>
                <w:szCs w:val="18"/>
              </w:rPr>
              <w:t>4.5</w:t>
            </w:r>
          </w:p>
        </w:tc>
      </w:tr>
      <w:tr w:rsidR="00777C88" w:rsidRPr="00F85C4C" w:rsidTr="00777C88">
        <w:trPr>
          <w:trHeight w:val="220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F85C4C">
              <w:rPr>
                <w:b/>
                <w:bCs/>
                <w:color w:val="595959" w:themeColor="text1" w:themeTint="A6"/>
                <w:sz w:val="18"/>
                <w:szCs w:val="18"/>
              </w:rPr>
              <w:t>Comments on the Program KPIs and Benchmarks results :</w:t>
            </w:r>
            <w:r w:rsidRPr="00F85C4C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777C88" w:rsidRPr="00F85C4C" w:rsidRDefault="00777C88" w:rsidP="00777C88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right="43"/>
              <w:rPr>
                <w:color w:val="595959" w:themeColor="text1" w:themeTint="A6"/>
                <w:sz w:val="18"/>
                <w:szCs w:val="18"/>
                <w:lang w:eastAsia="ar-SA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eastAsia="ar-SA"/>
              </w:rPr>
              <w:t xml:space="preserve">The program should have qualified teaching staff </w:t>
            </w:r>
          </w:p>
          <w:p w:rsidR="00777C88" w:rsidRPr="00F85C4C" w:rsidRDefault="00777C88" w:rsidP="00777C88">
            <w:pPr>
              <w:pStyle w:val="a3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ind w:right="43"/>
              <w:rPr>
                <w:color w:val="595959" w:themeColor="text1" w:themeTint="A6"/>
                <w:sz w:val="18"/>
                <w:szCs w:val="18"/>
                <w:lang w:eastAsia="ar-SA"/>
              </w:rPr>
            </w:pPr>
            <w:r w:rsidRPr="00F85C4C">
              <w:rPr>
                <w:color w:val="595959" w:themeColor="text1" w:themeTint="A6"/>
                <w:sz w:val="18"/>
                <w:szCs w:val="18"/>
                <w:lang w:eastAsia="ar-SA"/>
              </w:rPr>
              <w:t>Important of  Provide learning recourses in the library and activate the digital library</w:t>
            </w:r>
          </w:p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ind w:left="360" w:right="43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</w:tr>
      <w:tr w:rsidR="00777C88" w:rsidRPr="00F85C4C" w:rsidTr="00777C88">
        <w:trPr>
          <w:trHeight w:val="531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777C88" w:rsidRPr="00F85C4C" w:rsidRDefault="00777C88" w:rsidP="00777C88">
            <w:pPr>
              <w:tabs>
                <w:tab w:val="center" w:pos="4153"/>
                <w:tab w:val="right" w:pos="8306"/>
              </w:tabs>
              <w:rPr>
                <w:color w:val="595959" w:themeColor="text1" w:themeTint="A6"/>
                <w:sz w:val="18"/>
                <w:szCs w:val="18"/>
              </w:rPr>
            </w:pPr>
          </w:p>
          <w:p w:rsidR="00777C88" w:rsidRPr="00F85C4C" w:rsidRDefault="00777C88" w:rsidP="00777C88">
            <w:pPr>
              <w:bidi/>
              <w:spacing w:after="200" w:line="276" w:lineRule="auto"/>
              <w:jc w:val="right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 xml:space="preserve">Through the table of performance indicators, the results are generally good for </w:t>
            </w:r>
            <w:proofErr w:type="gramStart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the  Department</w:t>
            </w:r>
            <w:proofErr w:type="gramEnd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 xml:space="preserve"> compared to the results for the </w:t>
            </w:r>
            <w:proofErr w:type="spellStart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Aldarb</w:t>
            </w:r>
            <w:proofErr w:type="spellEnd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 xml:space="preserve"> Department. However, there are some weaknesses that require improvement, especially indicators related to scientific research, and can be improved as follows:</w:t>
            </w:r>
          </w:p>
          <w:p w:rsidR="00777C88" w:rsidRPr="00F85C4C" w:rsidRDefault="00777C88" w:rsidP="00777C88">
            <w:pPr>
              <w:bidi/>
              <w:spacing w:after="200" w:line="276" w:lineRule="auto"/>
              <w:jc w:val="right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 xml:space="preserve">-Encourage members to </w:t>
            </w:r>
            <w:proofErr w:type="gramStart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conduct  a</w:t>
            </w:r>
            <w:proofErr w:type="gramEnd"/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 xml:space="preserve"> research group according to the needs of the region and the plan of the scientific research unit in the college.</w:t>
            </w:r>
          </w:p>
          <w:p w:rsidR="00777C88" w:rsidRPr="00F85C4C" w:rsidRDefault="00777C88" w:rsidP="00777C88">
            <w:pPr>
              <w:bidi/>
              <w:spacing w:after="200" w:line="276" w:lineRule="auto"/>
              <w:jc w:val="right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  <w:rtl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>- Facilitate the publication of member research in international peer-reviewed journals and bear publication costs.</w:t>
            </w:r>
          </w:p>
          <w:p w:rsidR="00777C88" w:rsidRPr="00F85C4C" w:rsidRDefault="00777C88" w:rsidP="00777C88">
            <w:pPr>
              <w:bidi/>
              <w:spacing w:after="200" w:line="276" w:lineRule="auto"/>
              <w:jc w:val="right"/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</w:pPr>
            <w:r w:rsidRPr="00F85C4C">
              <w:rPr>
                <w:rFonts w:ascii="Calibri" w:eastAsia="Calibri" w:hAnsi="Calibri" w:cs="Arial"/>
                <w:color w:val="595959" w:themeColor="text1" w:themeTint="A6"/>
                <w:sz w:val="18"/>
                <w:szCs w:val="18"/>
              </w:rPr>
              <w:t xml:space="preserve"> - Determining financial rewards for published research</w:t>
            </w:r>
          </w:p>
        </w:tc>
      </w:tr>
    </w:tbl>
    <w:p w:rsidR="00777C88" w:rsidRDefault="00777C88" w:rsidP="00777C88">
      <w:pPr>
        <w:jc w:val="center"/>
        <w:rPr>
          <w:b/>
          <w:bCs/>
          <w:sz w:val="40"/>
          <w:szCs w:val="40"/>
        </w:rPr>
      </w:pPr>
      <w:r w:rsidRPr="00777C88">
        <w:rPr>
          <w:b/>
          <w:bCs/>
          <w:sz w:val="40"/>
          <w:szCs w:val="40"/>
        </w:rPr>
        <w:lastRenderedPageBreak/>
        <w:t>Mathematics program</w:t>
      </w:r>
    </w:p>
    <w:p w:rsidR="00777C88" w:rsidRDefault="00777C88" w:rsidP="00777C88">
      <w:pPr>
        <w:jc w:val="center"/>
        <w:rPr>
          <w:b/>
          <w:bCs/>
          <w:sz w:val="40"/>
          <w:szCs w:val="40"/>
        </w:rPr>
      </w:pPr>
    </w:p>
    <w:p w:rsidR="00777C88" w:rsidRPr="00777C88" w:rsidRDefault="00777C88" w:rsidP="00777C8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</w:t>
      </w:r>
    </w:p>
    <w:p w:rsidR="00777C88" w:rsidRPr="00777C88" w:rsidRDefault="00777C88" w:rsidP="00777C88">
      <w:pPr>
        <w:jc w:val="center"/>
        <w:rPr>
          <w:b/>
          <w:bCs/>
          <w:sz w:val="40"/>
          <w:szCs w:val="40"/>
        </w:rPr>
      </w:pPr>
      <w:r w:rsidRPr="00777C88">
        <w:rPr>
          <w:b/>
          <w:bCs/>
          <w:sz w:val="40"/>
          <w:szCs w:val="40"/>
        </w:rPr>
        <w:lastRenderedPageBreak/>
        <w:t>AL-</w:t>
      </w:r>
      <w:proofErr w:type="spellStart"/>
      <w:r w:rsidRPr="00777C88">
        <w:rPr>
          <w:b/>
          <w:bCs/>
          <w:sz w:val="40"/>
          <w:szCs w:val="40"/>
        </w:rPr>
        <w:t>Dayer</w:t>
      </w:r>
      <w:proofErr w:type="spellEnd"/>
      <w:r w:rsidRPr="00777C88">
        <w:rPr>
          <w:b/>
          <w:bCs/>
          <w:sz w:val="40"/>
          <w:szCs w:val="40"/>
        </w:rPr>
        <w:t xml:space="preserve"> collage</w:t>
      </w:r>
    </w:p>
    <w:sectPr w:rsidR="00777C88" w:rsidRPr="00777C88" w:rsidSect="00FB6F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74C71"/>
    <w:multiLevelType w:val="hybridMultilevel"/>
    <w:tmpl w:val="92066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E9"/>
    <w:rsid w:val="002F30E5"/>
    <w:rsid w:val="00564BFD"/>
    <w:rsid w:val="00645D48"/>
    <w:rsid w:val="007752E9"/>
    <w:rsid w:val="00777C88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C99B1-9469-4B1D-85F0-F88F4D10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E5"/>
    <w:pPr>
      <w:ind w:left="720"/>
      <w:contextualSpacing/>
    </w:pPr>
  </w:style>
  <w:style w:type="paragraph" w:customStyle="1" w:styleId="Default">
    <w:name w:val="Default"/>
    <w:rsid w:val="002F3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xpress</dc:creator>
  <cp:keywords/>
  <dc:description/>
  <cp:lastModifiedBy>xpress</cp:lastModifiedBy>
  <cp:revision>2</cp:revision>
  <dcterms:created xsi:type="dcterms:W3CDTF">2021-11-09T18:01:00Z</dcterms:created>
  <dcterms:modified xsi:type="dcterms:W3CDTF">2021-11-09T18:01:00Z</dcterms:modified>
</cp:coreProperties>
</file>