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E1128A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English Language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E1128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 101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E1128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Bachelor Degree Level 1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E1128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College of Design and Architecture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E1128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College of Design and Architecture</w:t>
            </w:r>
          </w:p>
        </w:tc>
      </w:tr>
      <w:tr w:rsidR="008B5913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8B5913" w:rsidRPr="005D2DDD" w:rsidRDefault="00E1128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Jazan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B45E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45E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45E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45E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45E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45E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45E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45E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45E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45E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45E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45E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45E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45EB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B45E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B45EB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B45EB3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BD7B65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775E1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D70EDF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D70ED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1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D70EDF">
              <w:rPr>
                <w:b/>
                <w:bCs/>
              </w:rPr>
              <w:t xml:space="preserve"> None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D70EDF">
              <w:rPr>
                <w:b/>
                <w:bCs/>
              </w:rPr>
              <w:t xml:space="preserve"> None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D70EDF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D70EDF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D70EDF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      225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D70EDF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</w:t>
            </w: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0274EF" w:rsidRDefault="00D70EDF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     225</w:t>
            </w: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F77DD" w:rsidRDefault="009F77DD" w:rsidP="009F77DD">
            <w:pPr>
              <w:rPr>
                <w:sz w:val="20"/>
                <w:szCs w:val="20"/>
              </w:rPr>
            </w:pPr>
            <w:r w:rsidRPr="00004DE7">
              <w:rPr>
                <w:bCs/>
                <w:sz w:val="20"/>
                <w:szCs w:val="20"/>
              </w:rPr>
              <w:t>A broad and improved syllabus, promoting critical thinking, actively engages students in their language learning. Reading texts are followed by interactive reading comprehension activities; a recording of the text to listen to. Reading</w:t>
            </w:r>
            <w:r w:rsidRPr="00004DE7">
              <w:rPr>
                <w:sz w:val="20"/>
                <w:szCs w:val="20"/>
              </w:rPr>
              <w:t xml:space="preserve"> involves articles and blogs. Writing skills can be </w:t>
            </w:r>
            <w:r w:rsidR="00543825" w:rsidRPr="00004DE7">
              <w:rPr>
                <w:sz w:val="20"/>
                <w:szCs w:val="20"/>
              </w:rPr>
              <w:t>practiced</w:t>
            </w:r>
            <w:r w:rsidRPr="00004DE7">
              <w:rPr>
                <w:sz w:val="20"/>
                <w:szCs w:val="20"/>
              </w:rPr>
              <w:t xml:space="preserve"> through writing about personal descriptions, places, describing tourist destinations, writing adverts, messages, short stories, emails, short descriptions, typing CVs, writing a paragraph, etc. Each learning module follows an Engage-Explore-Task-Reflect activity sequence to help students practice and learn effectively. Critical thinking provides the tools needed to generate individual ideas and opinions.</w:t>
            </w:r>
          </w:p>
          <w:p w:rsidR="00FA6233" w:rsidRPr="00004DE7" w:rsidRDefault="00FA6233" w:rsidP="00FA6233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04DE7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Benchmark: </w:t>
            </w:r>
          </w:p>
          <w:p w:rsidR="00FA6233" w:rsidRDefault="00FA6233" w:rsidP="00FA6233">
            <w:pPr>
              <w:rPr>
                <w:sz w:val="20"/>
                <w:szCs w:val="20"/>
              </w:rPr>
            </w:pPr>
            <w:r w:rsidRPr="00004DE7">
              <w:rPr>
                <w:sz w:val="20"/>
                <w:szCs w:val="20"/>
              </w:rPr>
              <w:t xml:space="preserve">ENG 101, Common First Year, King Saud University </w:t>
            </w:r>
          </w:p>
          <w:p w:rsidR="00FA6233" w:rsidRDefault="00FA6233" w:rsidP="00FA6233">
            <w:pPr>
              <w:rPr>
                <w:sz w:val="20"/>
                <w:szCs w:val="20"/>
              </w:rPr>
            </w:pPr>
            <w:r w:rsidRPr="00004DE7">
              <w:rPr>
                <w:sz w:val="20"/>
                <w:szCs w:val="20"/>
              </w:rPr>
              <w:t xml:space="preserve">(ref. </w:t>
            </w:r>
            <w:hyperlink r:id="rId11" w:history="1">
              <w:r w:rsidRPr="00C1741D">
                <w:rPr>
                  <w:rStyle w:val="Hyperlink"/>
                  <w:sz w:val="20"/>
                  <w:szCs w:val="20"/>
                </w:rPr>
                <w:t>https://fac.ksu.edu.sa/sites/default/files/English_101_Course_Specification.pdf</w:t>
              </w:r>
            </w:hyperlink>
            <w:r w:rsidRPr="00004DE7">
              <w:rPr>
                <w:sz w:val="20"/>
                <w:szCs w:val="20"/>
              </w:rPr>
              <w:t xml:space="preserve">) </w:t>
            </w:r>
          </w:p>
          <w:p w:rsidR="00FA6233" w:rsidRPr="00004DE7" w:rsidRDefault="00FA6233" w:rsidP="00FA6233">
            <w:pPr>
              <w:jc w:val="right"/>
              <w:rPr>
                <w:sz w:val="20"/>
                <w:szCs w:val="20"/>
              </w:rPr>
            </w:pPr>
            <w:r w:rsidRPr="00004DE7">
              <w:rPr>
                <w:sz w:val="20"/>
                <w:szCs w:val="20"/>
              </w:rPr>
              <w:t>CEFR Level A2 &amp; SAQF* Level 7</w:t>
            </w:r>
          </w:p>
          <w:p w:rsidR="00FA6233" w:rsidRPr="00004DE7" w:rsidRDefault="00FA6233" w:rsidP="00FA6233">
            <w:pPr>
              <w:rPr>
                <w:sz w:val="20"/>
                <w:szCs w:val="20"/>
              </w:rPr>
            </w:pPr>
            <w:r w:rsidRPr="00004DE7">
              <w:rPr>
                <w:sz w:val="20"/>
                <w:szCs w:val="20"/>
              </w:rPr>
              <w:t>*</w:t>
            </w:r>
            <w:r w:rsidRPr="00004DE7">
              <w:rPr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 w:rsidRPr="00004DE7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004DE7">
              <w:rPr>
                <w:b/>
                <w:bCs/>
                <w:i/>
                <w:iCs/>
                <w:sz w:val="20"/>
                <w:szCs w:val="20"/>
              </w:rPr>
              <w:t>*Saudi Arabian Qualifications Framework</w:t>
            </w:r>
          </w:p>
          <w:p w:rsidR="009F77DD" w:rsidRPr="009F77DD" w:rsidRDefault="009F77DD" w:rsidP="009F77DD"/>
          <w:p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  <w:p w:rsidR="00FA6233" w:rsidRPr="00C60B82" w:rsidRDefault="00FA6233" w:rsidP="00A04BB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32CFA">
              <w:rPr>
                <w:sz w:val="20"/>
                <w:szCs w:val="20"/>
              </w:rPr>
              <w:t xml:space="preserve">The course aims </w:t>
            </w:r>
            <w:r>
              <w:rPr>
                <w:sz w:val="20"/>
                <w:szCs w:val="20"/>
              </w:rPr>
              <w:t xml:space="preserve">to develop core language skills of first year JU students to enable them to communicate successfully in present competitive world. </w:t>
            </w:r>
            <w:r w:rsidRPr="00C60B82">
              <w:rPr>
                <w:sz w:val="20"/>
                <w:szCs w:val="20"/>
              </w:rPr>
              <w:t xml:space="preserve">To develop </w:t>
            </w:r>
            <w:r>
              <w:rPr>
                <w:sz w:val="20"/>
                <w:szCs w:val="20"/>
              </w:rPr>
              <w:t xml:space="preserve">their </w:t>
            </w:r>
            <w:r w:rsidRPr="00C60B82">
              <w:rPr>
                <w:sz w:val="20"/>
                <w:szCs w:val="20"/>
              </w:rPr>
              <w:t>academic skills</w:t>
            </w:r>
            <w:r>
              <w:rPr>
                <w:sz w:val="20"/>
                <w:szCs w:val="20"/>
              </w:rPr>
              <w:t xml:space="preserve"> –</w:t>
            </w:r>
            <w:r w:rsidRPr="00C60B82">
              <w:rPr>
                <w:sz w:val="20"/>
                <w:szCs w:val="20"/>
              </w:rPr>
              <w:t xml:space="preserve"> Listening, Speaking, Reading </w:t>
            </w:r>
            <w:r>
              <w:rPr>
                <w:sz w:val="20"/>
                <w:szCs w:val="20"/>
              </w:rPr>
              <w:t>&amp;</w:t>
            </w:r>
            <w:r w:rsidRPr="00C60B82">
              <w:rPr>
                <w:sz w:val="20"/>
                <w:szCs w:val="20"/>
              </w:rPr>
              <w:t xml:space="preserve"> Writing (LSRW)</w:t>
            </w:r>
            <w:r>
              <w:rPr>
                <w:sz w:val="20"/>
                <w:szCs w:val="20"/>
              </w:rPr>
              <w:t>, w</w:t>
            </w:r>
            <w:r w:rsidRPr="00C60B82">
              <w:rPr>
                <w:sz w:val="20"/>
                <w:szCs w:val="20"/>
              </w:rPr>
              <w:t xml:space="preserve">here students will be </w:t>
            </w:r>
            <w:r w:rsidRPr="00C60B82">
              <w:rPr>
                <w:noProof/>
                <w:sz w:val="20"/>
                <w:szCs w:val="20"/>
              </w:rPr>
              <w:t>able to</w:t>
            </w:r>
            <w:r>
              <w:rPr>
                <w:sz w:val="20"/>
                <w:szCs w:val="20"/>
              </w:rPr>
              <w:t>: l</w:t>
            </w:r>
            <w:r w:rsidRPr="00C60B82">
              <w:rPr>
                <w:sz w:val="20"/>
                <w:szCs w:val="20"/>
              </w:rPr>
              <w:t xml:space="preserve">isten and extract meaning from a </w:t>
            </w:r>
            <w:r w:rsidRPr="00C60B82">
              <w:rPr>
                <w:noProof/>
                <w:sz w:val="20"/>
                <w:szCs w:val="20"/>
              </w:rPr>
              <w:t>short</w:t>
            </w:r>
            <w:r w:rsidRPr="00C60B82">
              <w:rPr>
                <w:sz w:val="20"/>
                <w:szCs w:val="20"/>
              </w:rPr>
              <w:t xml:space="preserve"> conversation</w:t>
            </w:r>
            <w:r>
              <w:rPr>
                <w:sz w:val="20"/>
                <w:szCs w:val="20"/>
              </w:rPr>
              <w:t>; m</w:t>
            </w:r>
            <w:r w:rsidRPr="00C60B82">
              <w:rPr>
                <w:sz w:val="20"/>
                <w:szCs w:val="20"/>
              </w:rPr>
              <w:t xml:space="preserve">ake short simple conversations, and convey ideas on </w:t>
            </w:r>
            <w:r>
              <w:rPr>
                <w:sz w:val="20"/>
                <w:szCs w:val="20"/>
              </w:rPr>
              <w:t>specific topics; u</w:t>
            </w:r>
            <w:r w:rsidRPr="00C60B82">
              <w:rPr>
                <w:sz w:val="20"/>
                <w:szCs w:val="20"/>
              </w:rPr>
              <w:t>se proper pronunciation while making discussions</w:t>
            </w:r>
            <w:r>
              <w:rPr>
                <w:sz w:val="20"/>
                <w:szCs w:val="20"/>
              </w:rPr>
              <w:t>; s</w:t>
            </w:r>
            <w:r w:rsidRPr="00C60B82">
              <w:rPr>
                <w:sz w:val="20"/>
                <w:szCs w:val="20"/>
              </w:rPr>
              <w:t>can, skim and comprehend the reading text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 xml:space="preserve"> and articles while listening</w:t>
            </w:r>
            <w:r>
              <w:rPr>
                <w:sz w:val="20"/>
                <w:szCs w:val="20"/>
              </w:rPr>
              <w:t>; r</w:t>
            </w:r>
            <w:r w:rsidRPr="00C60B82">
              <w:rPr>
                <w:sz w:val="20"/>
                <w:szCs w:val="20"/>
              </w:rPr>
              <w:t>ead and analyze the expressions and short simple text</w:t>
            </w:r>
            <w:r>
              <w:rPr>
                <w:sz w:val="20"/>
                <w:szCs w:val="20"/>
              </w:rPr>
              <w:t>s; write blogs, w</w:t>
            </w:r>
            <w:r w:rsidRPr="00C60B82">
              <w:rPr>
                <w:sz w:val="20"/>
                <w:szCs w:val="20"/>
              </w:rPr>
              <w:t>rite short paragraphs</w:t>
            </w:r>
            <w:r>
              <w:rPr>
                <w:sz w:val="20"/>
                <w:szCs w:val="20"/>
              </w:rPr>
              <w:t>; d</w:t>
            </w:r>
            <w:r w:rsidRPr="00C60B82">
              <w:rPr>
                <w:sz w:val="20"/>
                <w:szCs w:val="20"/>
              </w:rPr>
              <w:t xml:space="preserve">raft emails, </w:t>
            </w:r>
            <w:r>
              <w:rPr>
                <w:sz w:val="20"/>
                <w:szCs w:val="20"/>
              </w:rPr>
              <w:t>write adverts; w</w:t>
            </w:r>
            <w:r w:rsidRPr="00C60B82">
              <w:rPr>
                <w:sz w:val="20"/>
                <w:szCs w:val="20"/>
              </w:rPr>
              <w:t>rite reviews, short messages</w:t>
            </w:r>
            <w:r>
              <w:rPr>
                <w:sz w:val="20"/>
                <w:szCs w:val="20"/>
              </w:rPr>
              <w:t>; and to</w:t>
            </w:r>
            <w:r w:rsidRPr="00C60B82">
              <w:rPr>
                <w:sz w:val="20"/>
                <w:szCs w:val="20"/>
              </w:rPr>
              <w:t xml:space="preserve"> introduce simple vocabulary and grammar rules. Learners </w:t>
            </w:r>
            <w:r>
              <w:rPr>
                <w:sz w:val="20"/>
                <w:szCs w:val="20"/>
              </w:rPr>
              <w:t xml:space="preserve">would </w:t>
            </w:r>
            <w:r w:rsidRPr="00C60B82">
              <w:rPr>
                <w:sz w:val="20"/>
                <w:szCs w:val="20"/>
              </w:rPr>
              <w:t xml:space="preserve">develop their ability to think critically and communicate effectively in the global community. </w:t>
            </w:r>
          </w:p>
          <w:p w:rsidR="00FA6233" w:rsidRPr="00FA6233" w:rsidRDefault="00FA6233" w:rsidP="00FA6233"/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  <w:p w:rsidR="005922AF" w:rsidRDefault="005922AF" w:rsidP="008B5913"/>
        </w:tc>
      </w:tr>
    </w:tbl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6308"/>
        <w:gridCol w:w="2413"/>
      </w:tblGrid>
      <w:tr w:rsidR="006A74AB" w:rsidRPr="005D2DDD" w:rsidTr="001A71E1">
        <w:trPr>
          <w:tblHeader/>
        </w:trPr>
        <w:tc>
          <w:tcPr>
            <w:tcW w:w="69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1A71E1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3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FA6233" w:rsidRPr="005D2DDD" w:rsidTr="001A71E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A6233" w:rsidRPr="00B4292A" w:rsidRDefault="00FA623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A6233" w:rsidRPr="001A71E1" w:rsidRDefault="00FA6233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Retrieve simple vocabulary and can read, recall, recollect and produce.</w:t>
            </w:r>
          </w:p>
          <w:p w:rsidR="001A71E1" w:rsidRPr="001A71E1" w:rsidRDefault="001A71E1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FA6233" w:rsidRPr="006A0B95" w:rsidRDefault="001A71E1" w:rsidP="006A74A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A0B95">
              <w:rPr>
                <w:rFonts w:asciiTheme="majorBidi" w:hAnsiTheme="majorBidi" w:cstheme="majorBidi"/>
                <w:sz w:val="20"/>
                <w:szCs w:val="20"/>
              </w:rPr>
              <w:t>Provide students with a high level of communicational knowledge in the field of design and architecture and the ability to have a</w:t>
            </w:r>
            <w:r w:rsidR="000C05AB" w:rsidRPr="006A0B95">
              <w:rPr>
                <w:rFonts w:asciiTheme="majorBidi" w:hAnsiTheme="majorBidi" w:cstheme="majorBidi"/>
                <w:sz w:val="20"/>
                <w:szCs w:val="20"/>
              </w:rPr>
              <w:t xml:space="preserve"> good</w:t>
            </w:r>
            <w:r w:rsidRPr="006A0B95">
              <w:rPr>
                <w:rFonts w:asciiTheme="majorBidi" w:hAnsiTheme="majorBidi" w:cstheme="majorBidi"/>
                <w:sz w:val="20"/>
                <w:szCs w:val="20"/>
              </w:rPr>
              <w:t xml:space="preserve"> command of the appropriate lexical terminology</w:t>
            </w:r>
            <w:r w:rsidR="000C05AB" w:rsidRPr="006A0B95">
              <w:rPr>
                <w:rFonts w:asciiTheme="majorBidi" w:hAnsiTheme="majorBidi" w:cstheme="majorBidi"/>
                <w:sz w:val="20"/>
                <w:szCs w:val="20"/>
              </w:rPr>
              <w:t xml:space="preserve"> associated with the profession tools in the English classroom and the language labs</w:t>
            </w:r>
          </w:p>
        </w:tc>
      </w:tr>
      <w:tr w:rsidR="00FA6233" w:rsidRPr="005D2DDD" w:rsidTr="001A71E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A6233" w:rsidRPr="00B4292A" w:rsidRDefault="00FA623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A6233" w:rsidRPr="001A71E1" w:rsidRDefault="00FA6233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Identify main idea and specific information from reading passages.</w:t>
            </w:r>
          </w:p>
          <w:p w:rsidR="001A71E1" w:rsidRPr="001A71E1" w:rsidRDefault="001A71E1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A6233" w:rsidRPr="00B4292A" w:rsidRDefault="00FA6233" w:rsidP="006A74AB">
            <w:pPr>
              <w:rPr>
                <w:rFonts w:asciiTheme="majorBidi" w:hAnsiTheme="majorBidi" w:cstheme="majorBidi"/>
              </w:rPr>
            </w:pPr>
          </w:p>
        </w:tc>
      </w:tr>
      <w:tr w:rsidR="00FA6233" w:rsidRPr="005D2DDD" w:rsidTr="001A71E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A6233" w:rsidRPr="00B4292A" w:rsidRDefault="00FA6233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A6233" w:rsidRPr="001A71E1" w:rsidRDefault="00FA6233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Connect and use a few basic grammatical structures and sentence pattern in everyday language.</w:t>
            </w:r>
          </w:p>
          <w:p w:rsidR="001A71E1" w:rsidRPr="001A71E1" w:rsidRDefault="001A71E1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A6233" w:rsidRPr="00B4292A" w:rsidRDefault="00FA6233" w:rsidP="006A74AB">
            <w:pPr>
              <w:rPr>
                <w:rFonts w:asciiTheme="majorBidi" w:hAnsiTheme="majorBidi" w:cstheme="majorBidi"/>
              </w:rPr>
            </w:pPr>
          </w:p>
        </w:tc>
      </w:tr>
      <w:tr w:rsidR="00FA6233" w:rsidRPr="005D2DDD" w:rsidTr="001A71E1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A6233" w:rsidRPr="00B4292A" w:rsidRDefault="00FA6233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FA6233" w:rsidRPr="001A71E1" w:rsidRDefault="00FA6233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Will be able to write paragraphs, about places, short descriptions, emails, etc.</w:t>
            </w:r>
          </w:p>
          <w:p w:rsidR="001A71E1" w:rsidRPr="001A71E1" w:rsidRDefault="001A71E1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233" w:rsidRPr="00B4292A" w:rsidRDefault="00FA6233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1A71E1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3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0C05AB" w:rsidRPr="005D2DDD" w:rsidTr="005E156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C05AB" w:rsidRPr="00B4292A" w:rsidRDefault="000C05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C05AB" w:rsidRPr="001A71E1" w:rsidRDefault="000C05AB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Use critical thinking and problem-s</w:t>
            </w:r>
            <w:r w:rsidR="00A13673">
              <w:rPr>
                <w:rFonts w:asciiTheme="majorBidi" w:hAnsiTheme="majorBidi" w:cstheme="majorBidi"/>
                <w:sz w:val="22"/>
                <w:szCs w:val="22"/>
              </w:rPr>
              <w:t>olving techniques while reading or</w:t>
            </w:r>
            <w:r w:rsidRPr="001A71E1">
              <w:rPr>
                <w:rFonts w:asciiTheme="majorBidi" w:hAnsiTheme="majorBidi" w:cstheme="majorBidi"/>
                <w:sz w:val="22"/>
                <w:szCs w:val="22"/>
              </w:rPr>
              <w:t xml:space="preserve"> writing.</w:t>
            </w:r>
          </w:p>
        </w:tc>
        <w:tc>
          <w:tcPr>
            <w:tcW w:w="241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1E0550" w:rsidRPr="00CB6435" w:rsidRDefault="000C05AB" w:rsidP="001E0550">
            <w:pPr>
              <w:autoSpaceDE w:val="0"/>
              <w:autoSpaceDN w:val="0"/>
              <w:adjustRightInd w:val="0"/>
              <w:spacing w:line="276" w:lineRule="auto"/>
              <w:ind w:right="43"/>
              <w:rPr>
                <w:rFonts w:asciiTheme="majorBidi" w:hAnsiTheme="majorBidi" w:cstheme="majorBidi"/>
                <w:bCs/>
                <w:i/>
                <w:iCs/>
              </w:rPr>
            </w:pPr>
            <w:r w:rsidRPr="006A0B95">
              <w:rPr>
                <w:rFonts w:asciiTheme="majorBidi" w:hAnsiTheme="majorBidi" w:cstheme="majorBidi"/>
                <w:sz w:val="20"/>
                <w:szCs w:val="20"/>
              </w:rPr>
              <w:t>Progress</w:t>
            </w:r>
            <w:r w:rsidR="006A0B95" w:rsidRPr="006A0B95">
              <w:rPr>
                <w:rFonts w:asciiTheme="majorBidi" w:hAnsiTheme="majorBidi" w:cstheme="majorBidi"/>
                <w:sz w:val="20"/>
                <w:szCs w:val="20"/>
              </w:rPr>
              <w:t xml:space="preserve"> in effective writing skills and oral communication related to the fields of design, architecture and everyday life.</w:t>
            </w:r>
            <w:r w:rsidR="001E0550">
              <w:rPr>
                <w:rFonts w:asciiTheme="majorBidi" w:hAnsiTheme="majorBidi" w:cstheme="majorBidi"/>
                <w:sz w:val="20"/>
                <w:szCs w:val="20"/>
              </w:rPr>
              <w:t xml:space="preserve"> Develop </w:t>
            </w:r>
            <w:r w:rsidR="001E0550" w:rsidRPr="00CB6435">
              <w:rPr>
                <w:rFonts w:asciiTheme="majorBidi" w:hAnsiTheme="majorBidi" w:cstheme="majorBidi"/>
                <w:sz w:val="20"/>
                <w:szCs w:val="20"/>
              </w:rPr>
              <w:t xml:space="preserve">research capabilities for students and </w:t>
            </w:r>
            <w:r w:rsidR="001E0550">
              <w:rPr>
                <w:rFonts w:asciiTheme="majorBidi" w:hAnsiTheme="majorBidi" w:cstheme="majorBidi"/>
                <w:sz w:val="20"/>
                <w:szCs w:val="20"/>
              </w:rPr>
              <w:t>encourage</w:t>
            </w:r>
            <w:r w:rsidR="001E0550" w:rsidRPr="00CB6435">
              <w:rPr>
                <w:rFonts w:asciiTheme="majorBidi" w:hAnsiTheme="majorBidi" w:cstheme="majorBidi"/>
                <w:sz w:val="20"/>
                <w:szCs w:val="20"/>
              </w:rPr>
              <w:t xml:space="preserve"> them to continue their higher studies in various fields of Architectural and building design.</w:t>
            </w:r>
          </w:p>
          <w:p w:rsidR="000C05AB" w:rsidRPr="006A0B95" w:rsidRDefault="000C05AB" w:rsidP="006A74A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C05AB" w:rsidRPr="005D2DDD" w:rsidTr="005E156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C05AB" w:rsidRPr="00B4292A" w:rsidRDefault="000C05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C05AB" w:rsidRPr="001A71E1" w:rsidRDefault="000C05AB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Express themselves in daily situations, using phrases, sharing opinions, using notes for short talks.</w:t>
            </w: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C05AB" w:rsidRPr="00B4292A" w:rsidRDefault="000C05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0C05AB" w:rsidRPr="005D2DDD" w:rsidTr="005E156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C05AB" w:rsidRPr="00B4292A" w:rsidRDefault="000C05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C05AB" w:rsidRPr="001A71E1" w:rsidRDefault="000C05AB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Analyze simple grammatical patterns and can correct their own mistakes</w:t>
            </w: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C05AB" w:rsidRPr="00B4292A" w:rsidRDefault="000C05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0C05AB" w:rsidRPr="005D2DDD" w:rsidTr="005E156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05AB" w:rsidRPr="00B4292A" w:rsidRDefault="000C05AB" w:rsidP="006A7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0C05AB" w:rsidRPr="001A71E1" w:rsidRDefault="000C05AB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</w:rPr>
              <w:t>Demonstrate students</w:t>
            </w:r>
            <w:r w:rsidRPr="001A71E1">
              <w:rPr>
                <w:rFonts w:asciiTheme="majorBidi" w:hAnsiTheme="majorBidi" w:cstheme="majorBidi" w:hint="eastAsia"/>
                <w:sz w:val="22"/>
                <w:szCs w:val="22"/>
              </w:rPr>
              <w:t>’</w:t>
            </w:r>
            <w:r w:rsidRPr="001A71E1">
              <w:rPr>
                <w:rFonts w:asciiTheme="majorBidi" w:hAnsiTheme="majorBidi" w:cstheme="majorBidi"/>
                <w:sz w:val="22"/>
                <w:szCs w:val="22"/>
              </w:rPr>
              <w:t xml:space="preserve"> communication skills in oral and written contexts reflec</w:t>
            </w:r>
            <w:r w:rsidR="001E0550">
              <w:rPr>
                <w:rFonts w:asciiTheme="majorBidi" w:hAnsiTheme="majorBidi" w:cstheme="majorBidi"/>
                <w:sz w:val="22"/>
                <w:szCs w:val="22"/>
              </w:rPr>
              <w:t>ting the learned vocabulary and</w:t>
            </w:r>
            <w:r w:rsidRPr="001A71E1">
              <w:rPr>
                <w:rFonts w:asciiTheme="majorBidi" w:hAnsiTheme="majorBidi" w:cstheme="majorBidi"/>
                <w:sz w:val="22"/>
                <w:szCs w:val="22"/>
              </w:rPr>
              <w:t xml:space="preserve"> grammatical structures</w:t>
            </w:r>
            <w:r w:rsidR="001E0550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="001E0550" w:rsidRPr="008E5237">
              <w:t>Analyze texts, news articles</w:t>
            </w:r>
            <w:r w:rsidR="001E0550">
              <w:t xml:space="preserve">, interviews </w:t>
            </w:r>
            <w:r w:rsidR="001E0550" w:rsidRPr="008E5237">
              <w:t>to practice critical</w:t>
            </w:r>
            <w:r w:rsidR="001E0550">
              <w:t xml:space="preserve"> </w:t>
            </w:r>
            <w:r w:rsidR="001E0550" w:rsidRPr="008E5237">
              <w:t xml:space="preserve">thinking to </w:t>
            </w:r>
            <w:r w:rsidR="001E0550">
              <w:t xml:space="preserve">speculate, predict and </w:t>
            </w:r>
            <w:r w:rsidR="001E0550" w:rsidRPr="008E5237">
              <w:t>infer meaning/summarize</w:t>
            </w:r>
            <w:r w:rsidR="001E0550">
              <w:t xml:space="preserve"> i</w:t>
            </w:r>
            <w:r w:rsidR="001E0550" w:rsidRPr="008E5237">
              <w:t>nformation</w:t>
            </w:r>
            <w:r w:rsidR="001E0550">
              <w:t>.</w:t>
            </w:r>
          </w:p>
        </w:tc>
        <w:tc>
          <w:tcPr>
            <w:tcW w:w="241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05AB" w:rsidRPr="00B4292A" w:rsidRDefault="000C05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1A71E1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3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1A71E1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bidi="ar-EG"/>
              </w:rPr>
            </w:pPr>
            <w:r w:rsidRPr="001A71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  <w:r w:rsidR="006A74AB" w:rsidRPr="001A71E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0B95" w:rsidRPr="005D2DDD" w:rsidTr="005E156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0B95" w:rsidRPr="00B4292A" w:rsidRDefault="006A0B95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0B95" w:rsidRPr="001A71E1" w:rsidRDefault="006A0B95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</w:t>
            </w:r>
            <w:r w:rsidR="0060013E">
              <w:rPr>
                <w:rFonts w:asciiTheme="majorBidi" w:hAnsiTheme="majorBidi" w:cstheme="majorBidi"/>
                <w:sz w:val="22"/>
                <w:szCs w:val="22"/>
                <w:lang w:val="en-GB"/>
              </w:rPr>
              <w:t>n active</w:t>
            </w:r>
            <w:r w:rsidR="00A13673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team-</w:t>
            </w:r>
            <w:r w:rsidR="0060013E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member attitude in helping and giving positive</w:t>
            </w:r>
            <w:r w:rsidR="00A13673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reinforcement, accurate and encouraging feedback to peers.</w:t>
            </w:r>
          </w:p>
        </w:tc>
        <w:tc>
          <w:tcPr>
            <w:tcW w:w="241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6A0B95" w:rsidRPr="00D25E64" w:rsidRDefault="006A0B95" w:rsidP="006A0B95">
            <w:pPr>
              <w:ind w:right="43"/>
              <w:rPr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Prepare</w:t>
            </w:r>
            <w:r w:rsidRPr="00D25E64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a generation of</w:t>
            </w: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committed and excellence oriented professionals in the various fields of design and architecture</w:t>
            </w:r>
            <w:r>
              <w:rPr>
                <w:sz w:val="20"/>
                <w:szCs w:val="20"/>
              </w:rPr>
              <w:t xml:space="preserve">. Bearing in mind rules </w:t>
            </w:r>
            <w:r w:rsidR="00BB42DB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regulations</w:t>
            </w:r>
            <w:r w:rsidR="00BB42DB">
              <w:rPr>
                <w:sz w:val="20"/>
                <w:szCs w:val="20"/>
              </w:rPr>
              <w:t xml:space="preserve"> , mission statements governing their different areas of operation</w:t>
            </w:r>
          </w:p>
          <w:p w:rsidR="006A0B95" w:rsidRPr="00B4292A" w:rsidRDefault="006A0B95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0B95" w:rsidRPr="005D2DDD" w:rsidTr="005E156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0B95" w:rsidRPr="00B4292A" w:rsidRDefault="006A0B95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0B95" w:rsidRPr="001A71E1" w:rsidRDefault="006A0B95" w:rsidP="006A74AB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Uphold and practice good</w:t>
            </w:r>
            <w:r w:rsidR="00BB42DB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social behaviour in accordance </w:t>
            </w:r>
            <w:r w:rsidRPr="001A71E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wi</w:t>
            </w:r>
            <w:r w:rsidR="00BB42DB">
              <w:rPr>
                <w:rFonts w:asciiTheme="majorBidi" w:hAnsiTheme="majorBidi" w:cstheme="majorBidi"/>
                <w:sz w:val="22"/>
                <w:szCs w:val="22"/>
                <w:lang w:val="en-GB"/>
              </w:rPr>
              <w:t>th religious and cultural realities of their areas of operation.</w:t>
            </w: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A0B95" w:rsidRPr="00B4292A" w:rsidRDefault="006A0B95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0B95" w:rsidRPr="005D2DDD" w:rsidTr="005E156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0B95" w:rsidRPr="00B4292A" w:rsidRDefault="006A0B95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0B95" w:rsidRPr="00B4292A" w:rsidRDefault="00BB42DB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Sustain a good command of technical, ethical based and communicational values in the Design and Architecture industry</w:t>
            </w:r>
          </w:p>
        </w:tc>
        <w:tc>
          <w:tcPr>
            <w:tcW w:w="241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A0B95" w:rsidRPr="00B4292A" w:rsidRDefault="006A0B95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0B95" w:rsidRPr="005D2DDD" w:rsidTr="005E156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0B95" w:rsidRPr="00B4292A" w:rsidRDefault="006A0B95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63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0B95" w:rsidRPr="00B4292A" w:rsidRDefault="006A0B95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1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0B95" w:rsidRPr="00B4292A" w:rsidRDefault="006A0B95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035EA9" w:rsidRDefault="00035EA9" w:rsidP="00035E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035EA9" w:rsidRDefault="00035EA9" w:rsidP="00035E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035EA9" w:rsidRDefault="00035EA9" w:rsidP="00035E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035EA9" w:rsidRPr="00AE29C3" w:rsidRDefault="00035EA9" w:rsidP="00035EA9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D462E9" w:rsidRPr="005D2DDD" w:rsidTr="006D2AC5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462E9" w:rsidRPr="00DE07AD" w:rsidRDefault="00D462E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62E9" w:rsidRDefault="00D462E9" w:rsidP="006D2AC5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Unit:1 Lifestyle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</w:tr>
      <w:tr w:rsidR="00D462E9" w:rsidRPr="005D2DDD" w:rsidTr="006D2AC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2E9" w:rsidRPr="00DE07AD" w:rsidRDefault="00D462E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2E9" w:rsidRPr="00D652D2" w:rsidRDefault="00D462E9" w:rsidP="006D2AC5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2: Competitions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>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D462E9" w:rsidRPr="00DE07AD" w:rsidRDefault="00D462E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  <w:r w:rsidRPr="00733640">
              <w:rPr>
                <w:rFonts w:asciiTheme="majorBidi" w:hAnsiTheme="majorBidi" w:cstheme="majorBidi"/>
              </w:rPr>
              <w:t>25</w:t>
            </w:r>
          </w:p>
        </w:tc>
      </w:tr>
      <w:tr w:rsidR="00D462E9" w:rsidRPr="005D2DDD" w:rsidTr="006D2AC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2E9" w:rsidRPr="00DE07AD" w:rsidRDefault="00D462E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2E9" w:rsidRPr="00D652D2" w:rsidRDefault="00D462E9" w:rsidP="006D2AC5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3: Transport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D462E9" w:rsidRPr="00DE07AD" w:rsidRDefault="00D462E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  <w:r w:rsidRPr="00733640">
              <w:rPr>
                <w:rFonts w:asciiTheme="majorBidi" w:hAnsiTheme="majorBidi" w:cstheme="majorBidi"/>
              </w:rPr>
              <w:t>25</w:t>
            </w:r>
          </w:p>
        </w:tc>
      </w:tr>
      <w:tr w:rsidR="00D462E9" w:rsidRPr="005D2DDD" w:rsidTr="006D2AC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2E9" w:rsidRPr="00DE07AD" w:rsidRDefault="00D462E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2E9" w:rsidRPr="00D652D2" w:rsidRDefault="00D462E9" w:rsidP="006D2AC5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4: Challenges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>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D462E9" w:rsidRPr="00DE07AD" w:rsidRDefault="00D462E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  <w:r w:rsidRPr="00733640">
              <w:rPr>
                <w:rFonts w:asciiTheme="majorBidi" w:hAnsiTheme="majorBidi" w:cstheme="majorBidi"/>
              </w:rPr>
              <w:t>25</w:t>
            </w:r>
          </w:p>
        </w:tc>
      </w:tr>
      <w:tr w:rsidR="00D462E9" w:rsidRPr="005D2DDD" w:rsidTr="006D2AC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462E9" w:rsidRPr="00DE07AD" w:rsidRDefault="00D462E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2E9" w:rsidRPr="00D652D2" w:rsidRDefault="00D462E9" w:rsidP="006D2AC5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 xml:space="preserve">Unit 5: The </w:t>
            </w:r>
            <w:r>
              <w:rPr>
                <w:rFonts w:asciiTheme="majorBidi" w:hAnsiTheme="majorBidi" w:cstheme="majorBidi"/>
                <w:lang w:bidi="ar-EG"/>
              </w:rPr>
              <w:t>E</w:t>
            </w:r>
            <w:r w:rsidRPr="00D652D2">
              <w:rPr>
                <w:rFonts w:asciiTheme="majorBidi" w:hAnsiTheme="majorBidi" w:cstheme="majorBidi"/>
                <w:lang w:bidi="ar-EG"/>
              </w:rPr>
              <w:t>nvironment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D462E9" w:rsidRPr="00DE07AD" w:rsidRDefault="00D462E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  <w:r w:rsidRPr="00733640">
              <w:rPr>
                <w:rFonts w:asciiTheme="majorBidi" w:hAnsiTheme="majorBidi" w:cstheme="majorBidi"/>
              </w:rPr>
              <w:t>25</w:t>
            </w:r>
          </w:p>
        </w:tc>
      </w:tr>
      <w:tr w:rsidR="00D462E9" w:rsidRPr="005D2DDD" w:rsidTr="006D2AC5">
        <w:trPr>
          <w:trHeight w:val="255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2E9" w:rsidRPr="00DE07AD" w:rsidRDefault="00D462E9" w:rsidP="00D462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2E9" w:rsidRPr="00D652D2" w:rsidRDefault="00D462E9" w:rsidP="006D2AC5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 xml:space="preserve">Unit 6: Stages in </w:t>
            </w:r>
            <w:r>
              <w:rPr>
                <w:rFonts w:asciiTheme="majorBidi" w:hAnsiTheme="majorBidi" w:cstheme="majorBidi"/>
                <w:lang w:bidi="ar-EG"/>
              </w:rPr>
              <w:t>L</w:t>
            </w:r>
            <w:r w:rsidRPr="00D652D2">
              <w:rPr>
                <w:rFonts w:asciiTheme="majorBidi" w:hAnsiTheme="majorBidi" w:cstheme="majorBidi"/>
                <w:lang w:bidi="ar-EG"/>
              </w:rPr>
              <w:t>ife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>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D462E9" w:rsidRPr="00DE07AD" w:rsidRDefault="00D462E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  <w:r w:rsidRPr="00733640">
              <w:rPr>
                <w:rFonts w:asciiTheme="majorBidi" w:hAnsiTheme="majorBidi" w:cstheme="majorBidi"/>
              </w:rPr>
              <w:t>25</w:t>
            </w:r>
          </w:p>
        </w:tc>
      </w:tr>
      <w:tr w:rsidR="00D462E9" w:rsidRPr="005D2DDD" w:rsidTr="00D462E9">
        <w:trPr>
          <w:trHeight w:val="300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2E9" w:rsidRDefault="00D462E9" w:rsidP="00D462E9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2E9" w:rsidRPr="00D652D2" w:rsidRDefault="00D462E9" w:rsidP="006D2AC5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7: Work 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D462E9" w:rsidRPr="00DE07AD" w:rsidRDefault="00D462E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  <w:r w:rsidRPr="00733640">
              <w:rPr>
                <w:rFonts w:asciiTheme="majorBidi" w:hAnsiTheme="majorBidi" w:cstheme="majorBidi"/>
              </w:rPr>
              <w:t>25</w:t>
            </w:r>
          </w:p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462E9" w:rsidRPr="005D2DDD" w:rsidTr="00D462E9">
        <w:trPr>
          <w:trHeight w:val="540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2E9" w:rsidRDefault="00D462E9" w:rsidP="00D462E9">
            <w:pPr>
              <w:bidi/>
              <w:jc w:val="center"/>
            </w:pPr>
          </w:p>
          <w:p w:rsidR="00D462E9" w:rsidRDefault="00D462E9" w:rsidP="00D462E9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62E9" w:rsidRPr="00D652D2" w:rsidRDefault="00D462E9" w:rsidP="006D2AC5">
            <w:pPr>
              <w:rPr>
                <w:rFonts w:asciiTheme="majorBidi" w:hAnsiTheme="majorBidi" w:cstheme="majorBidi"/>
                <w:lang w:bidi="ar-EG"/>
              </w:rPr>
            </w:pPr>
            <w:r w:rsidRPr="00D652D2">
              <w:rPr>
                <w:rFonts w:asciiTheme="majorBidi" w:hAnsiTheme="majorBidi" w:cstheme="majorBidi"/>
                <w:lang w:bidi="ar-EG"/>
              </w:rPr>
              <w:t>Unit 8: Technology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D652D2">
              <w:rPr>
                <w:rFonts w:asciiTheme="majorBidi" w:hAnsiTheme="majorBidi" w:cstheme="majorBidi"/>
                <w:lang w:bidi="ar-EG"/>
              </w:rPr>
              <w:t>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D462E9" w:rsidRPr="00DE07AD" w:rsidRDefault="00D462E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</w:tr>
      <w:tr w:rsidR="00D462E9" w:rsidRPr="005D2DDD" w:rsidTr="006D2AC5">
        <w:trPr>
          <w:trHeight w:val="285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2E9" w:rsidRDefault="00D462E9" w:rsidP="00D462E9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2E9" w:rsidRDefault="00D462E9" w:rsidP="006D2AC5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9: Holidays 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– </w:t>
            </w:r>
            <w:r>
              <w:rPr>
                <w:rFonts w:asciiTheme="majorBidi" w:hAnsiTheme="majorBidi" w:cstheme="majorBidi"/>
                <w:lang w:bidi="ar-EG"/>
              </w:rPr>
              <w:t>Student Book and Workbook</w:t>
            </w:r>
          </w:p>
          <w:p w:rsidR="00D462E9" w:rsidRPr="00DE07AD" w:rsidRDefault="00D462E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462E9" w:rsidRPr="00DE07AD" w:rsidRDefault="00D462E9" w:rsidP="00D462E9">
            <w:pPr>
              <w:jc w:val="lowKashida"/>
              <w:rPr>
                <w:rFonts w:asciiTheme="majorBidi" w:hAnsiTheme="majorBidi" w:cstheme="majorBidi"/>
              </w:rPr>
            </w:pPr>
            <w:r w:rsidRPr="00733640">
              <w:rPr>
                <w:rFonts w:asciiTheme="majorBidi" w:hAnsiTheme="majorBidi" w:cstheme="majorBidi"/>
              </w:rPr>
              <w:t>25</w:t>
            </w:r>
          </w:p>
        </w:tc>
      </w:tr>
      <w:tr w:rsidR="00D462E9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462E9" w:rsidRPr="005D2DDD" w:rsidRDefault="00D462E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462E9" w:rsidRPr="005D2DDD" w:rsidRDefault="00D462E9" w:rsidP="00567FF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225  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347"/>
        <w:gridCol w:w="90"/>
        <w:gridCol w:w="2284"/>
      </w:tblGrid>
      <w:tr w:rsidR="009C77F0" w:rsidRPr="005D2DDD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gridSpan w:val="2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:rsidTr="005E156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Retrieve simple vocabulary and can read, recall, recollect and produce.</w:t>
            </w:r>
          </w:p>
        </w:tc>
        <w:tc>
          <w:tcPr>
            <w:tcW w:w="122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Lectures, classwork and independent homework. The communicative approach, groups and pair work, task-based activities, individual mentoring.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9C77F0" w:rsidRPr="005D2DDD" w:rsidTr="005E156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Identify main idea and specific information from reading passages</w:t>
            </w:r>
          </w:p>
        </w:tc>
        <w:tc>
          <w:tcPr>
            <w:tcW w:w="122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Lectures, classwork and independent homework. The communicative approach, groups and pair work, task-based activities, individual mentoring.</w:t>
            </w:r>
          </w:p>
        </w:tc>
        <w:tc>
          <w:tcPr>
            <w:tcW w:w="1241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9C77F0" w:rsidRPr="005D2DDD" w:rsidTr="005E1562">
        <w:trPr>
          <w:trHeight w:val="390"/>
        </w:trPr>
        <w:tc>
          <w:tcPr>
            <w:tcW w:w="446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77F0" w:rsidRPr="00C76B1F" w:rsidRDefault="0032580E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77F0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Connect and use a few basic grammatical structures and sentence pattern in everyday language.</w:t>
            </w:r>
          </w:p>
          <w:p w:rsidR="0032580E" w:rsidRPr="00C76B1F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26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580E" w:rsidRPr="00AF448A" w:rsidRDefault="0032580E" w:rsidP="0032580E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Strategy-based lessons</w:t>
            </w:r>
          </w:p>
          <w:p w:rsidR="0032580E" w:rsidRPr="00AF448A" w:rsidRDefault="0032580E" w:rsidP="0032580E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with rigorous practice</w:t>
            </w:r>
          </w:p>
          <w:p w:rsidR="009C77F0" w:rsidRPr="00DE07AD" w:rsidRDefault="0032580E" w:rsidP="0032580E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of listening and reading worksheets, study guides, and grammar</w:t>
            </w:r>
          </w:p>
        </w:tc>
        <w:tc>
          <w:tcPr>
            <w:tcW w:w="1241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77F0" w:rsidRPr="00DE07AD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32580E" w:rsidRPr="005D2DDD" w:rsidTr="005E1562">
        <w:trPr>
          <w:trHeight w:val="705"/>
        </w:trPr>
        <w:tc>
          <w:tcPr>
            <w:tcW w:w="44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2580E" w:rsidRPr="00C76B1F" w:rsidRDefault="0032580E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2580E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Will be able to write paragraphs, about places, short descriptions, emails</w:t>
            </w:r>
            <w:r>
              <w:rPr>
                <w:rFonts w:asciiTheme="majorBidi" w:hAnsiTheme="majorBidi" w:cstheme="majorBidi"/>
              </w:rPr>
              <w:t>,</w:t>
            </w:r>
            <w:r w:rsidRPr="00D25E64">
              <w:rPr>
                <w:rFonts w:asciiTheme="majorBidi" w:hAnsiTheme="majorBidi" w:cstheme="majorBidi"/>
              </w:rPr>
              <w:t xml:space="preserve"> etc.</w:t>
            </w:r>
          </w:p>
          <w:p w:rsidR="0032580E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2580E" w:rsidRPr="00DE07AD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sz w:val="22"/>
                <w:szCs w:val="22"/>
              </w:rPr>
              <w:lastRenderedPageBreak/>
              <w:t xml:space="preserve">Daily engagement with technological skills </w:t>
            </w:r>
            <w:r w:rsidRPr="00AF448A">
              <w:rPr>
                <w:sz w:val="22"/>
                <w:szCs w:val="22"/>
              </w:rPr>
              <w:lastRenderedPageBreak/>
              <w:t>useful for learning English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2580E" w:rsidRPr="00DE07AD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lastRenderedPageBreak/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Progress Tests,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2.0</w:t>
            </w:r>
          </w:p>
        </w:tc>
        <w:tc>
          <w:tcPr>
            <w:tcW w:w="455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Use critical thinking and problem-solving techniques while reading, writing.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Daily engagement with 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32580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Express themselves in daily situations, using phrases, sharing opinions, using notes for short talks.</w:t>
            </w:r>
          </w:p>
        </w:tc>
        <w:tc>
          <w:tcPr>
            <w:tcW w:w="127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263142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263142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 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>Progress Tests, Final Exam</w:t>
            </w:r>
          </w:p>
        </w:tc>
      </w:tr>
      <w:tr w:rsidR="009C77F0" w:rsidRPr="005D2DDD" w:rsidTr="00263142">
        <w:trPr>
          <w:trHeight w:val="1920"/>
        </w:trPr>
        <w:tc>
          <w:tcPr>
            <w:tcW w:w="446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77F0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  <w:p w:rsidR="00263142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</w:p>
          <w:p w:rsidR="00263142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</w:p>
          <w:p w:rsidR="00263142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</w:p>
          <w:p w:rsidR="00263142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</w:p>
          <w:p w:rsidR="00263142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</w:p>
          <w:p w:rsidR="00263142" w:rsidRPr="00C76B1F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77F0" w:rsidRPr="00C76B1F" w:rsidRDefault="00263142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Analyze simple grammatical patterns and can correct their own mistakes</w:t>
            </w:r>
          </w:p>
        </w:tc>
        <w:tc>
          <w:tcPr>
            <w:tcW w:w="1273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77F0" w:rsidRPr="00DE07AD" w:rsidRDefault="00263142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Lectures, classwork and independent homework. The communicative approach, groups and pair work, task-based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63142" w:rsidRPr="00E14801" w:rsidRDefault="00263142" w:rsidP="002631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Classroom</w:t>
            </w:r>
          </w:p>
          <w:p w:rsidR="00263142" w:rsidRPr="00E14801" w:rsidRDefault="00263142" w:rsidP="002631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9C77F0" w:rsidRPr="00DE07AD" w:rsidRDefault="00263142" w:rsidP="00263142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Worksheets</w:t>
            </w:r>
          </w:p>
        </w:tc>
      </w:tr>
      <w:tr w:rsidR="00263142" w:rsidRPr="005D2DDD" w:rsidTr="00263142">
        <w:trPr>
          <w:trHeight w:val="570"/>
        </w:trPr>
        <w:tc>
          <w:tcPr>
            <w:tcW w:w="446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63142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</w:p>
          <w:p w:rsidR="00263142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  <w:p w:rsidR="00263142" w:rsidRDefault="00263142" w:rsidP="009C77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63142" w:rsidRPr="00D25E64" w:rsidRDefault="00263142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Demonstrate students</w:t>
            </w:r>
            <w:r w:rsidRPr="00D25E64">
              <w:rPr>
                <w:rFonts w:asciiTheme="majorBidi" w:hAnsiTheme="majorBidi" w:cstheme="majorBidi" w:hint="eastAsia"/>
              </w:rPr>
              <w:t>’</w:t>
            </w:r>
            <w:r w:rsidRPr="00D25E64">
              <w:rPr>
                <w:rFonts w:asciiTheme="majorBidi" w:hAnsiTheme="majorBidi" w:cstheme="majorBidi"/>
              </w:rPr>
              <w:t xml:space="preserve"> communication skills in oral and written contexts reflecting the learn</w:t>
            </w:r>
            <w:r>
              <w:rPr>
                <w:rFonts w:asciiTheme="majorBidi" w:hAnsiTheme="majorBidi" w:cstheme="majorBidi"/>
              </w:rPr>
              <w:t>ed</w:t>
            </w:r>
            <w:r w:rsidRPr="00D25E64">
              <w:rPr>
                <w:rFonts w:asciiTheme="majorBidi" w:hAnsiTheme="majorBidi" w:cstheme="majorBidi"/>
              </w:rPr>
              <w:t xml:space="preserve"> vocabulary and grammatical structure</w:t>
            </w:r>
            <w:r>
              <w:rPr>
                <w:rFonts w:asciiTheme="majorBidi" w:hAnsiTheme="majorBidi" w:cstheme="majorBidi"/>
              </w:rPr>
              <w:t>s.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63142" w:rsidRPr="00AF448A" w:rsidRDefault="00263142" w:rsidP="009C77F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63142" w:rsidRPr="00DF32A0" w:rsidRDefault="00263142" w:rsidP="002631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Classroom activities, </w:t>
            </w:r>
          </w:p>
          <w:p w:rsidR="00263142" w:rsidRPr="00E14801" w:rsidRDefault="00263142" w:rsidP="00263142">
            <w:pPr>
              <w:jc w:val="lowKashida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, 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263142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</w:t>
            </w:r>
            <w:r w:rsidR="009A6B2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n active</w:t>
            </w: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teamwork</w:t>
            </w:r>
            <w:r w:rsidR="009A6B2F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r w:rsidR="00AD2539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member </w:t>
            </w:r>
            <w:r w:rsidR="00AD2539"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attitude</w:t>
            </w:r>
            <w:r w:rsidR="009A6B2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.</w:t>
            </w:r>
            <w:r w:rsidR="00A96DDE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263142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Team and individual mentoring,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63142" w:rsidRPr="00DF32A0" w:rsidRDefault="00263142" w:rsidP="002631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Task-based</w:t>
            </w:r>
          </w:p>
          <w:p w:rsidR="00263142" w:rsidRPr="00DF32A0" w:rsidRDefault="00263142" w:rsidP="002631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9C77F0" w:rsidRPr="00DE07AD" w:rsidRDefault="00263142" w:rsidP="002631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group drills</w:t>
            </w: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C76B1F" w:rsidRDefault="009A6B2F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Develop a good command of technical, ethical based and communicational va</w:t>
            </w:r>
            <w:r w:rsidR="00A96DDE">
              <w:rPr>
                <w:rFonts w:asciiTheme="majorBidi" w:hAnsiTheme="majorBidi" w:cstheme="majorBidi"/>
              </w:rPr>
              <w:t>lues related to</w:t>
            </w:r>
            <w:r>
              <w:rPr>
                <w:rFonts w:asciiTheme="majorBidi" w:hAnsiTheme="majorBidi" w:cstheme="majorBidi"/>
              </w:rPr>
              <w:t xml:space="preserve"> the Design and Architecture industry.</w:t>
            </w:r>
          </w:p>
        </w:tc>
        <w:tc>
          <w:tcPr>
            <w:tcW w:w="127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A97131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Individual and group counseling focusing on ethics and good conduct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A97131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Assessments</w:t>
            </w:r>
            <w:r>
              <w:rPr>
                <w:sz w:val="22"/>
                <w:szCs w:val="22"/>
              </w:rPr>
              <w:t>,</w:t>
            </w:r>
            <w:r w:rsidRPr="00DF32A0">
              <w:rPr>
                <w:sz w:val="22"/>
                <w:szCs w:val="22"/>
              </w:rPr>
              <w:t xml:space="preserve"> Feedback forms</w:t>
            </w: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AD2539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D2539" w:rsidRPr="009D1E6C" w:rsidRDefault="00AD2539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Quiz 1Integrated (Reading Writing) (Listening Speaking)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AD2539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D2539" w:rsidRPr="009D1E6C" w:rsidRDefault="00AD2539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2 Integrated (Reading Writing) (Listening Speaking</w:t>
            </w:r>
            <w:r w:rsidRPr="000C3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 xml:space="preserve"> %</w:t>
            </w:r>
          </w:p>
        </w:tc>
      </w:tr>
      <w:tr w:rsidR="00AD2539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D2539" w:rsidRPr="009D1E6C" w:rsidRDefault="00AD2539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Progress Test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20%</w:t>
            </w:r>
          </w:p>
        </w:tc>
      </w:tr>
      <w:tr w:rsidR="00AD2539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D2539" w:rsidRPr="009D1E6C" w:rsidRDefault="00AD2539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3 Integrated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AD2539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D2539" w:rsidRPr="009D1E6C" w:rsidRDefault="00AD2539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Indirect Assessment: Classroom Performance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AD2539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D2539" w:rsidRPr="009D1E6C" w:rsidRDefault="00AD2539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AD2539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D2539" w:rsidRPr="009D1E6C" w:rsidRDefault="00AD2539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  <w:u w:val="single"/>
              </w:rPr>
              <w:t>100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AD2539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2539" w:rsidRPr="009D1E6C" w:rsidRDefault="00AD2539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AD2539" w:rsidRPr="00DE07A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lastRenderedPageBreak/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4945" w:type="pct"/>
        <w:tblLook w:val="04A0"/>
      </w:tblPr>
      <w:tblGrid>
        <w:gridCol w:w="9466"/>
      </w:tblGrid>
      <w:tr w:rsidR="008F5880" w:rsidTr="00AD2539">
        <w:trPr>
          <w:trHeight w:val="146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  <w:p w:rsidR="00AD2539" w:rsidRDefault="00AD2539" w:rsidP="00AD2539">
            <w:pPr>
              <w:spacing w:line="276" w:lineRule="auto"/>
            </w:pPr>
            <w:r w:rsidRPr="00193424">
              <w:t xml:space="preserve">Each group is assigned a teacher for individual guidance, consultation and academic advice. Every teacher is supposed to allocate a minimum of </w:t>
            </w:r>
            <w:r w:rsidRPr="00193424">
              <w:rPr>
                <w:b/>
                <w:bCs/>
              </w:rPr>
              <w:t>15</w:t>
            </w:r>
            <w:r>
              <w:t xml:space="preserve"> </w:t>
            </w:r>
            <w:r w:rsidRPr="00193424">
              <w:t>hours per week for his/her group, apart from other 5 hours for administrative duties.</w:t>
            </w:r>
          </w:p>
          <w:p w:rsidR="00AD2539" w:rsidRPr="008F5880" w:rsidRDefault="00AD2539" w:rsidP="008B5913">
            <w:pPr>
              <w:jc w:val="both"/>
              <w:rPr>
                <w:b/>
                <w:bCs/>
              </w:rPr>
            </w:pPr>
          </w:p>
        </w:tc>
      </w:tr>
      <w:tr w:rsidR="008F5880" w:rsidTr="00AD2539">
        <w:trPr>
          <w:trHeight w:val="794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5922AF" w:rsidRDefault="005922AF" w:rsidP="008B5913">
            <w:pPr>
              <w:spacing w:line="276" w:lineRule="auto"/>
            </w:pP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AD2539" w:rsidRDefault="00AD2539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AD2539" w:rsidRPr="00E60C20" w:rsidRDefault="00AD2539" w:rsidP="00AD2539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>Life Pre-Intermediate, Student’s Book with DVD: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Engaging tasks with fascinating National Geographic content. </w:t>
            </w:r>
            <w:r w:rsidRPr="00E60C20">
              <w:rPr>
                <w:sz w:val="22"/>
                <w:szCs w:val="22"/>
              </w:rPr>
              <w:br/>
              <w:t>- Fully integrated National Geographic video for each unit. </w:t>
            </w:r>
            <w:r w:rsidRPr="00E60C20">
              <w:rPr>
                <w:sz w:val="22"/>
                <w:szCs w:val="22"/>
              </w:rPr>
              <w:br/>
              <w:t>- Review at the end of each unit. </w:t>
            </w:r>
            <w:r w:rsidRPr="00E60C20">
              <w:rPr>
                <w:sz w:val="22"/>
                <w:szCs w:val="22"/>
              </w:rPr>
              <w:br/>
              <w:t>- Grammar reference with practice activities</w:t>
            </w:r>
            <w:r w:rsidRPr="00E60C20">
              <w:rPr>
                <w:b/>
                <w:bCs/>
                <w:sz w:val="22"/>
                <w:szCs w:val="22"/>
              </w:rPr>
              <w:t xml:space="preserve"> Life Pre-Intermediate, Workbook with Audio CD: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Further practice and linear progression of Student’s Book contents. </w:t>
            </w:r>
            <w:r w:rsidRPr="00E60C20">
              <w:rPr>
                <w:sz w:val="22"/>
                <w:szCs w:val="22"/>
              </w:rPr>
              <w:br/>
              <w:t>- Focus on learning skills. </w:t>
            </w:r>
            <w:r w:rsidRPr="00E60C20">
              <w:rPr>
                <w:sz w:val="22"/>
                <w:szCs w:val="22"/>
              </w:rPr>
              <w:br/>
              <w:t>- Sample IELTS tests allow learners to benchmark their learning.</w:t>
            </w:r>
          </w:p>
          <w:p w:rsidR="00AD2539" w:rsidRDefault="00AD2539" w:rsidP="00AD2539">
            <w:pPr>
              <w:jc w:val="lowKashida"/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>Life Pre-Intermediate, Teacher’s Book with Class Audio CD:</w:t>
            </w:r>
            <w:r w:rsidRPr="00E60C20">
              <w:rPr>
                <w:sz w:val="22"/>
                <w:szCs w:val="22"/>
              </w:rPr>
              <w:t> </w:t>
            </w:r>
          </w:p>
          <w:p w:rsidR="001B5102" w:rsidRPr="005D2DDD" w:rsidRDefault="00AD2539" w:rsidP="00AD2539">
            <w:pPr>
              <w:jc w:val="lowKashida"/>
              <w:rPr>
                <w:rFonts w:asciiTheme="majorBidi" w:hAnsiTheme="majorBidi" w:cstheme="majorBidi"/>
              </w:rPr>
            </w:pPr>
            <w:r w:rsidRPr="00E60C20">
              <w:rPr>
                <w:sz w:val="22"/>
                <w:szCs w:val="22"/>
              </w:rPr>
              <w:t>Detailed teaching notes with lead-ins, additional activities and answer key. </w:t>
            </w:r>
            <w:r w:rsidRPr="00E60C20">
              <w:rPr>
                <w:sz w:val="22"/>
                <w:szCs w:val="22"/>
              </w:rPr>
              <w:br/>
              <w:t>- Notes on vocabulary, grammar, pronunciation and useful background information. </w:t>
            </w:r>
            <w:r w:rsidRPr="00E60C2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E60C20">
              <w:rPr>
                <w:sz w:val="22"/>
                <w:szCs w:val="22"/>
              </w:rPr>
              <w:t>Photocopiable</w:t>
            </w:r>
            <w:proofErr w:type="spellEnd"/>
            <w:r w:rsidRPr="00E60C20">
              <w:rPr>
                <w:sz w:val="22"/>
                <w:szCs w:val="22"/>
              </w:rPr>
              <w:t xml:space="preserve"> communicative activities and tests</w:t>
            </w:r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B45EB3" w:rsidP="001B5102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AD2539" w:rsidRPr="000C4D83">
                <w:rPr>
                  <w:rStyle w:val="Hyperlink"/>
                </w:rPr>
                <w:t>http://www.ngllife.com/content/course-overview-0</w:t>
              </w:r>
            </w:hyperlink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AD2539" w:rsidRDefault="00B45EB3" w:rsidP="00AD2539">
            <w:pPr>
              <w:jc w:val="lowKashida"/>
              <w:rPr>
                <w:rStyle w:val="Hyperlink"/>
              </w:rPr>
            </w:pPr>
            <w:hyperlink r:id="rId13" w:history="1">
              <w:r w:rsidR="00AD2539" w:rsidRPr="000C4D83">
                <w:rPr>
                  <w:rStyle w:val="Hyperlink"/>
                </w:rPr>
                <w:t>http://www.facebook.com/NGLearningUK</w:t>
              </w:r>
            </w:hyperlink>
          </w:p>
          <w:p w:rsidR="00AD2539" w:rsidRDefault="00B45EB3" w:rsidP="00AD2539">
            <w:pPr>
              <w:jc w:val="lowKashida"/>
              <w:rPr>
                <w:rStyle w:val="Hyperlink"/>
              </w:rPr>
            </w:pPr>
            <w:hyperlink r:id="rId14" w:history="1">
              <w:r w:rsidR="00AD2539" w:rsidRPr="000C4D83">
                <w:rPr>
                  <w:rStyle w:val="Hyperlink"/>
                </w:rPr>
                <w:t>http://www.twitter.com/NGLearningUK</w:t>
              </w:r>
            </w:hyperlink>
          </w:p>
          <w:p w:rsidR="001B5102" w:rsidRPr="00E115D6" w:rsidRDefault="00B45EB3" w:rsidP="00AD2539">
            <w:pPr>
              <w:jc w:val="lowKashida"/>
              <w:rPr>
                <w:rFonts w:asciiTheme="majorBidi" w:hAnsiTheme="majorBidi" w:cstheme="majorBidi"/>
              </w:rPr>
            </w:pPr>
            <w:hyperlink r:id="rId15" w:history="1">
              <w:r w:rsidR="00AD2539" w:rsidRPr="000C4D83">
                <w:rPr>
                  <w:rStyle w:val="Hyperlink"/>
                </w:rPr>
                <w:t>http://www.youtube.com/NGLearningUK</w:t>
              </w:r>
            </w:hyperlink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C522B9" w:rsidRDefault="00C522B9" w:rsidP="00C522B9">
            <w:pPr>
              <w:rPr>
                <w:rFonts w:asciiTheme="majorBidi" w:hAnsiTheme="majorBidi" w:cstheme="majorBidi"/>
              </w:rPr>
            </w:pPr>
            <w:r w:rsidRPr="00E60C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Life Pre-Intermediate, Interactive Whiteboard CD-ROM: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Includes IWB tools, ‘</w:t>
            </w:r>
            <w:proofErr w:type="spellStart"/>
            <w:r w:rsidRPr="00E60C20">
              <w:rPr>
                <w:rFonts w:asciiTheme="majorBidi" w:hAnsiTheme="majorBidi" w:cstheme="majorBidi"/>
                <w:sz w:val="22"/>
                <w:szCs w:val="22"/>
              </w:rPr>
              <w:t>zoomable</w:t>
            </w:r>
            <w:proofErr w:type="spellEnd"/>
            <w:r w:rsidRPr="00E60C20">
              <w:rPr>
                <w:rFonts w:asciiTheme="majorBidi" w:hAnsiTheme="majorBidi" w:cstheme="majorBidi"/>
                <w:sz w:val="22"/>
                <w:szCs w:val="22"/>
              </w:rPr>
              <w:t>’ pages and easy-to-access audio and video.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Create your own interactive tasks with the easy-t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o-use content creation tool. </w:t>
            </w:r>
            <w:r>
              <w:rPr>
                <w:rFonts w:asciiTheme="majorBidi" w:hAnsiTheme="majorBidi" w:cstheme="majorBidi"/>
                <w:sz w:val="22"/>
                <w:szCs w:val="22"/>
              </w:rPr>
              <w:br/>
              <w:t xml:space="preserve">- 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t>Show or hide the key.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Show justification for the answers to the reading and listening comprehension activities</w:t>
            </w:r>
            <w:r w:rsidRPr="00E60C2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35EA9" w:rsidRDefault="00035EA9" w:rsidP="00035EA9"/>
    <w:p w:rsidR="00035EA9" w:rsidRPr="00035EA9" w:rsidRDefault="00035EA9" w:rsidP="00035EA9"/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522B9" w:rsidRPr="00C522B9" w:rsidRDefault="00C522B9" w:rsidP="00FA3FF0">
            <w:pPr>
              <w:pStyle w:val="ListParagraph"/>
              <w:numPr>
                <w:ilvl w:val="0"/>
                <w:numId w:val="1"/>
              </w:numPr>
              <w:ind w:right="43"/>
              <w:rPr>
                <w:iCs/>
                <w:sz w:val="22"/>
                <w:szCs w:val="22"/>
              </w:rPr>
            </w:pPr>
            <w:r w:rsidRPr="00C522B9">
              <w:rPr>
                <w:iCs/>
                <w:sz w:val="22"/>
                <w:szCs w:val="22"/>
              </w:rPr>
              <w:t>Spacious classrooms to accommodate 35 students per class with traditional and smart whiteboards as well as smart touch screens connected to a high-quality sound system.</w:t>
            </w:r>
          </w:p>
          <w:p w:rsidR="00F24884" w:rsidRPr="00C522B9" w:rsidRDefault="00C522B9" w:rsidP="00FA3FF0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Theme="majorBidi" w:hAnsiTheme="majorBidi" w:cstheme="majorBidi"/>
              </w:rPr>
            </w:pPr>
            <w:r w:rsidRPr="00C522B9">
              <w:rPr>
                <w:iCs/>
                <w:sz w:val="22"/>
                <w:szCs w:val="22"/>
              </w:rPr>
              <w:t>Internet connection for students to work on their projects, assignments.(if applicable)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2B9" w:rsidRDefault="00C522B9" w:rsidP="00FA3FF0">
            <w:pPr>
              <w:pStyle w:val="ListParagraph"/>
              <w:numPr>
                <w:ilvl w:val="0"/>
                <w:numId w:val="3"/>
              </w:numPr>
              <w:ind w:right="43"/>
            </w:pPr>
            <w:r>
              <w:t>Smart Board</w:t>
            </w:r>
          </w:p>
          <w:p w:rsidR="00C522B9" w:rsidRDefault="00C522B9" w:rsidP="00FA3FF0">
            <w:pPr>
              <w:pStyle w:val="ListParagraph"/>
              <w:numPr>
                <w:ilvl w:val="0"/>
                <w:numId w:val="3"/>
              </w:numPr>
              <w:ind w:right="43"/>
            </w:pPr>
            <w:r>
              <w:rPr>
                <w:iCs/>
              </w:rPr>
              <w:t>Sound system</w:t>
            </w:r>
            <w:r>
              <w:t xml:space="preserve"> </w:t>
            </w:r>
          </w:p>
          <w:p w:rsidR="00C522B9" w:rsidRDefault="00C522B9" w:rsidP="00FA3FF0">
            <w:pPr>
              <w:pStyle w:val="ListParagraph"/>
              <w:numPr>
                <w:ilvl w:val="0"/>
                <w:numId w:val="3"/>
              </w:numPr>
              <w:ind w:right="43"/>
            </w:pPr>
            <w:r>
              <w:t>Internet</w:t>
            </w:r>
          </w:p>
          <w:p w:rsidR="00C522B9" w:rsidRDefault="00C522B9" w:rsidP="00FA3FF0">
            <w:pPr>
              <w:pStyle w:val="ListParagraph"/>
              <w:numPr>
                <w:ilvl w:val="0"/>
                <w:numId w:val="3"/>
              </w:numPr>
              <w:ind w:right="43"/>
            </w:pPr>
            <w:r>
              <w:t>Speakers (for audio)</w:t>
            </w:r>
          </w:p>
          <w:p w:rsidR="00C522B9" w:rsidRDefault="00C522B9" w:rsidP="00FA3FF0">
            <w:pPr>
              <w:pStyle w:val="ListParagraph"/>
              <w:numPr>
                <w:ilvl w:val="0"/>
                <w:numId w:val="3"/>
              </w:numPr>
              <w:ind w:right="43"/>
            </w:pPr>
            <w:r>
              <w:t>Laptop ( with internet connectivity)</w:t>
            </w:r>
          </w:p>
          <w:p w:rsidR="00C522B9" w:rsidRDefault="00C522B9" w:rsidP="00FA3FF0">
            <w:pPr>
              <w:pStyle w:val="ListParagraph"/>
              <w:numPr>
                <w:ilvl w:val="0"/>
                <w:numId w:val="3"/>
              </w:numPr>
              <w:ind w:right="43"/>
            </w:pPr>
            <w:r>
              <w:t>Microphone (for recording speaking skills).</w:t>
            </w:r>
          </w:p>
          <w:p w:rsidR="00C522B9" w:rsidRDefault="00C522B9" w:rsidP="00FA3FF0">
            <w:pPr>
              <w:pStyle w:val="ListParagraph"/>
              <w:numPr>
                <w:ilvl w:val="0"/>
                <w:numId w:val="3"/>
              </w:numPr>
              <w:ind w:right="43"/>
            </w:pPr>
            <w:r>
              <w:t>Audio player</w:t>
            </w:r>
          </w:p>
          <w:p w:rsidR="00C522B9" w:rsidRDefault="00C522B9" w:rsidP="00FA3FF0">
            <w:pPr>
              <w:pStyle w:val="ListParagraph"/>
              <w:numPr>
                <w:ilvl w:val="0"/>
                <w:numId w:val="3"/>
              </w:numPr>
              <w:ind w:right="43"/>
            </w:pPr>
            <w:r>
              <w:t>Audio recorder</w:t>
            </w:r>
          </w:p>
          <w:p w:rsidR="00C522B9" w:rsidRDefault="00C522B9" w:rsidP="00FA3FF0">
            <w:pPr>
              <w:pStyle w:val="ListParagraph"/>
              <w:numPr>
                <w:ilvl w:val="0"/>
                <w:numId w:val="3"/>
              </w:numPr>
              <w:ind w:right="43"/>
            </w:pPr>
            <w:r>
              <w:t>OHP</w:t>
            </w:r>
          </w:p>
          <w:p w:rsidR="00F24884" w:rsidRPr="00296746" w:rsidRDefault="00C522B9" w:rsidP="00C522B9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            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31D9C" w:rsidRDefault="00131D9C" w:rsidP="00FA3FF0">
            <w:pPr>
              <w:pStyle w:val="ListParagraph"/>
              <w:numPr>
                <w:ilvl w:val="0"/>
                <w:numId w:val="4"/>
              </w:numPr>
              <w:ind w:left="303" w:right="43"/>
            </w:pPr>
            <w:r>
              <w:t>Whiteboard of good quality ( to be used as a screen for playing videos as well)</w:t>
            </w:r>
          </w:p>
          <w:p w:rsidR="00131D9C" w:rsidRDefault="00131D9C" w:rsidP="00FA3FF0">
            <w:pPr>
              <w:pStyle w:val="ListParagraph"/>
              <w:numPr>
                <w:ilvl w:val="0"/>
                <w:numId w:val="4"/>
              </w:numPr>
              <w:ind w:left="303" w:right="43"/>
            </w:pPr>
            <w:r>
              <w:t>Whiteboard markers ( a total of 5 sets of 4 pens for the course per group)</w:t>
            </w:r>
          </w:p>
          <w:p w:rsidR="00131D9C" w:rsidRDefault="00131D9C" w:rsidP="00FA3FF0">
            <w:pPr>
              <w:pStyle w:val="ListParagraph"/>
              <w:numPr>
                <w:ilvl w:val="0"/>
                <w:numId w:val="4"/>
              </w:numPr>
              <w:ind w:left="303" w:right="43"/>
            </w:pPr>
            <w:r>
              <w:t>Paper for photocopying quizzes and extra practice materials ( 4 packets per group)</w:t>
            </w:r>
          </w:p>
          <w:p w:rsidR="004112B7" w:rsidRDefault="004112B7" w:rsidP="00FA3FF0">
            <w:pPr>
              <w:pStyle w:val="ListParagraph"/>
              <w:numPr>
                <w:ilvl w:val="0"/>
                <w:numId w:val="4"/>
              </w:numPr>
              <w:ind w:left="303" w:right="43"/>
            </w:pPr>
            <w:r>
              <w:t>Photocopying and printing facilities for the teachers and the students</w:t>
            </w:r>
          </w:p>
          <w:p w:rsidR="00F24884" w:rsidRPr="00296746" w:rsidRDefault="00F24884" w:rsidP="00131D9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6D2AC5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7371CE" w:rsidRDefault="006D2AC5" w:rsidP="006D2AC5">
            <w:r w:rsidRPr="007371CE">
              <w:rPr>
                <w:lang w:bidi="ar-EG"/>
              </w:rPr>
              <w:t>Quality of learning resources,</w:t>
            </w:r>
          </w:p>
          <w:p w:rsidR="006D2AC5" w:rsidRPr="00BC6833" w:rsidRDefault="006D2AC5" w:rsidP="006D2AC5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2AC5" w:rsidRPr="00BC6833" w:rsidRDefault="001E27E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1E27E4">
              <w:rPr>
                <w:rFonts w:asciiTheme="majorBidi" w:hAnsiTheme="majorBidi" w:cstheme="majorBidi"/>
              </w:rPr>
              <w:t xml:space="preserve">Surveys designed by the English Language Institute (ELI)/ University – distributed among the students. </w:t>
            </w:r>
            <w:r w:rsidRPr="001E27E4">
              <w:rPr>
                <w:rFonts w:asciiTheme="majorBidi" w:hAnsiTheme="majorBidi" w:cstheme="majorBidi"/>
                <w:b/>
                <w:bCs/>
              </w:rPr>
              <w:t>Direct</w:t>
            </w:r>
          </w:p>
        </w:tc>
      </w:tr>
      <w:tr w:rsidR="006D2AC5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</w:t>
            </w:r>
            <w:r>
              <w:rPr>
                <w:lang w:bidi="ar-EG"/>
              </w:rPr>
              <w:t xml:space="preserve">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2AC5" w:rsidRPr="00BC6833" w:rsidRDefault="001E27E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6D2AC5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Default="006D2AC5" w:rsidP="006D2AC5">
            <w:pPr>
              <w:ind w:left="737"/>
              <w:jc w:val="both"/>
              <w:rPr>
                <w:iCs/>
              </w:rPr>
            </w:pPr>
          </w:p>
          <w:p w:rsidR="00A2018A" w:rsidRDefault="00A2018A" w:rsidP="00A2018A">
            <w:pPr>
              <w:jc w:val="both"/>
              <w:rPr>
                <w:iCs/>
              </w:rPr>
            </w:pPr>
            <w:r>
              <w:rPr>
                <w:iCs/>
              </w:rPr>
              <w:t xml:space="preserve"> Quality Assurance </w:t>
            </w:r>
          </w:p>
          <w:p w:rsidR="006D2AC5" w:rsidRPr="00BC6833" w:rsidRDefault="001A71E1" w:rsidP="00A2018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iCs/>
              </w:rPr>
              <w:t xml:space="preserve"> Curriculum Unit - </w:t>
            </w:r>
            <w:r w:rsidR="006D2AC5" w:rsidRPr="007371CE">
              <w:rPr>
                <w:iCs/>
              </w:rPr>
              <w:t>ELI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2AC5" w:rsidRPr="00BC6833" w:rsidRDefault="001E27E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 xml:space="preserve">Classrooms visits and observation.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6D2AC5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2AC5" w:rsidRPr="00BC6833" w:rsidRDefault="001E27E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Statistical analysis of students’ marks in Progress Test and Final Tests.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6D2AC5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2018A" w:rsidRDefault="006D2AC5" w:rsidP="006D2AC5">
            <w:pPr>
              <w:ind w:left="-227" w:right="43"/>
              <w:jc w:val="center"/>
              <w:rPr>
                <w:iCs/>
              </w:rPr>
            </w:pPr>
            <w:r w:rsidRPr="007371CE">
              <w:rPr>
                <w:iCs/>
              </w:rPr>
              <w:t>Quality</w:t>
            </w:r>
            <w:r w:rsidR="00A2018A">
              <w:rPr>
                <w:iCs/>
              </w:rPr>
              <w:t xml:space="preserve"> </w:t>
            </w:r>
            <w:r w:rsidRPr="007371CE">
              <w:rPr>
                <w:iCs/>
              </w:rPr>
              <w:t xml:space="preserve"> As</w:t>
            </w:r>
            <w:r w:rsidR="00A2018A">
              <w:rPr>
                <w:iCs/>
              </w:rPr>
              <w:t>surance</w:t>
            </w:r>
          </w:p>
          <w:p w:rsidR="006D2AC5" w:rsidRPr="007371CE" w:rsidRDefault="001A71E1" w:rsidP="006D2AC5">
            <w:pPr>
              <w:ind w:left="-227" w:right="43"/>
              <w:jc w:val="center"/>
            </w:pPr>
            <w:r>
              <w:rPr>
                <w:iCs/>
              </w:rPr>
              <w:t xml:space="preserve"> Curriculum Unit-</w:t>
            </w:r>
            <w:r w:rsidR="006D2AC5" w:rsidRPr="007371CE">
              <w:rPr>
                <w:iCs/>
              </w:rPr>
              <w:t xml:space="preserve"> ELI</w:t>
            </w:r>
          </w:p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2AC5" w:rsidRPr="00BC6833" w:rsidRDefault="001E27E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lastRenderedPageBreak/>
              <w:t xml:space="preserve">Reviewed bi-annually, improvements are planned </w:t>
            </w:r>
            <w:r w:rsidRPr="007371CE">
              <w:rPr>
                <w:iCs/>
              </w:rPr>
              <w:lastRenderedPageBreak/>
              <w:t>and implemented</w:t>
            </w:r>
          </w:p>
        </w:tc>
      </w:tr>
      <w:tr w:rsidR="006D2AC5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7371CE" w:rsidRDefault="006D2AC5" w:rsidP="006D2AC5">
            <w:r w:rsidRPr="007371CE">
              <w:lastRenderedPageBreak/>
              <w:t>Student assessment</w:t>
            </w:r>
          </w:p>
          <w:p w:rsidR="006D2AC5" w:rsidRPr="00BC6833" w:rsidRDefault="006D2AC5" w:rsidP="006D2AC5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2AC5" w:rsidRPr="00BC6833" w:rsidRDefault="001E27E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Marking and remarking of sample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6D2AC5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AC5" w:rsidRPr="00BC6833" w:rsidRDefault="006D2AC5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E115D6" w:rsidRDefault="00A2018A" w:rsidP="00A2018A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Quality Assurance &amp; Accreditation Unit, English Language Institute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E115D6" w:rsidRDefault="00A2018A" w:rsidP="00A2018A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ELI/QAU</w:t>
            </w:r>
            <w:r w:rsidR="00567FF9">
              <w:rPr>
                <w:rFonts w:asciiTheme="majorBidi" w:hAnsiTheme="majorBidi" w:cstheme="majorBidi"/>
              </w:rPr>
              <w:t>/CS</w:t>
            </w:r>
            <w:r>
              <w:rPr>
                <w:rFonts w:asciiTheme="majorBidi" w:hAnsiTheme="majorBidi" w:cstheme="majorBidi"/>
              </w:rPr>
              <w:t>/ENG101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E115D6" w:rsidRDefault="00BD7B65" w:rsidP="00BD7B65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20 October </w:t>
            </w:r>
            <w:r w:rsidR="00A2018A">
              <w:rPr>
                <w:rFonts w:asciiTheme="majorBidi" w:hAnsiTheme="majorBidi" w:cstheme="majorBidi"/>
              </w:rPr>
              <w:t>2020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09" w:rsidRDefault="00B05109">
      <w:r>
        <w:separator/>
      </w:r>
    </w:p>
  </w:endnote>
  <w:endnote w:type="continuationSeparator" w:id="0">
    <w:p w:rsidR="00B05109" w:rsidRDefault="00B0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62" w:rsidRDefault="00B45E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15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562">
      <w:rPr>
        <w:rStyle w:val="PageNumber"/>
        <w:noProof/>
      </w:rPr>
      <w:t>246</w:t>
    </w:r>
    <w:r>
      <w:rPr>
        <w:rStyle w:val="PageNumber"/>
      </w:rPr>
      <w:fldChar w:fldCharType="end"/>
    </w:r>
  </w:p>
  <w:p w:rsidR="005E1562" w:rsidRDefault="005E1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5E1562" w:rsidRDefault="005E1562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45EB3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6145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5E1562" w:rsidRPr="00705C7E" w:rsidRDefault="00B45EB3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5E1562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D7B65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09" w:rsidRDefault="00B05109">
      <w:r>
        <w:separator/>
      </w:r>
    </w:p>
  </w:footnote>
  <w:footnote w:type="continuationSeparator" w:id="0">
    <w:p w:rsidR="00B05109" w:rsidRDefault="00B05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62" w:rsidRPr="00A006BB" w:rsidRDefault="005E1562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958"/>
    <w:multiLevelType w:val="hybridMultilevel"/>
    <w:tmpl w:val="D526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139CA"/>
    <w:multiLevelType w:val="hybridMultilevel"/>
    <w:tmpl w:val="85C8D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5EA9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5AB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0B8"/>
    <w:rsid w:val="00121384"/>
    <w:rsid w:val="001237C3"/>
    <w:rsid w:val="00124671"/>
    <w:rsid w:val="001259DE"/>
    <w:rsid w:val="00126A75"/>
    <w:rsid w:val="001310AC"/>
    <w:rsid w:val="00131D9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1E1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0550"/>
    <w:rsid w:val="001E186B"/>
    <w:rsid w:val="001E278B"/>
    <w:rsid w:val="001E27E4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142"/>
    <w:rsid w:val="00263C24"/>
    <w:rsid w:val="00263FF4"/>
    <w:rsid w:val="00264EBB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220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E755F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580E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DBB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2B7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3825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67FF9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1562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13E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0B95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2AC5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51B2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5E13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4554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4017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B2F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9F77DD"/>
    <w:rsid w:val="00A006BB"/>
    <w:rsid w:val="00A0179F"/>
    <w:rsid w:val="00A02D0B"/>
    <w:rsid w:val="00A04BB3"/>
    <w:rsid w:val="00A04DCF"/>
    <w:rsid w:val="00A07438"/>
    <w:rsid w:val="00A113B8"/>
    <w:rsid w:val="00A124F8"/>
    <w:rsid w:val="00A13673"/>
    <w:rsid w:val="00A13A58"/>
    <w:rsid w:val="00A1573B"/>
    <w:rsid w:val="00A2018A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1DA1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6DDE"/>
    <w:rsid w:val="00A97131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2539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109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45EB3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3CF8"/>
    <w:rsid w:val="00BB42DB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D7B65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2B9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2E9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0EDF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128A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3FF0"/>
    <w:rsid w:val="00FA4990"/>
    <w:rsid w:val="00FA49ED"/>
    <w:rsid w:val="00FA6233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AD25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AD2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NGLearning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ngllife.com/content/course-overview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c.ksu.edu.sa/sites/default/files/English_101_Course_Specific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NGLearning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F05AAA-A1C2-408C-96BC-81019880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1881</Words>
  <Characters>13152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15003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3</cp:revision>
  <cp:lastPrinted>2020-04-23T14:47:00Z</cp:lastPrinted>
  <dcterms:created xsi:type="dcterms:W3CDTF">2021-01-18T08:16:00Z</dcterms:created>
  <dcterms:modified xsi:type="dcterms:W3CDTF">2021-04-11T13:05:00Z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